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1E3B" w14:textId="77777777" w:rsidR="00417770" w:rsidRPr="005C36BF" w:rsidRDefault="00417770" w:rsidP="009433ED">
      <w:pPr>
        <w:pStyle w:val="Heading1"/>
        <w:jc w:val="both"/>
        <w:rPr>
          <w:szCs w:val="24"/>
        </w:rPr>
      </w:pPr>
      <w:r w:rsidRPr="005C36BF">
        <w:rPr>
          <w:noProof/>
          <w:lang w:eastAsia="lt-LT"/>
        </w:rPr>
        <w:drawing>
          <wp:anchor distT="0" distB="0" distL="114300" distR="114300" simplePos="0" relativeHeight="251659264" behindDoc="0" locked="0" layoutInCell="1" allowOverlap="1" wp14:anchorId="5A15BBEE" wp14:editId="0ED777CD">
            <wp:simplePos x="0" y="0"/>
            <wp:positionH relativeFrom="margin">
              <wp:posOffset>1466850</wp:posOffset>
            </wp:positionH>
            <wp:positionV relativeFrom="margin">
              <wp:posOffset>-743585</wp:posOffset>
            </wp:positionV>
            <wp:extent cx="2649220" cy="1136650"/>
            <wp:effectExtent l="0" t="0" r="0" b="6350"/>
            <wp:wrapSquare wrapText="bothSides"/>
            <wp:docPr id="1" name="Picture 1" descr="C:\Darbinis\_Asmeniniai\Aktuaru draugija\Logo\LAD logos\logo horizontal\LAD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rbinis\_Asmeniniai\Aktuaru draugija\Logo\LAD logos\logo horizontal\LAD logo wh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922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26FA2" w14:textId="77777777" w:rsidR="00417770" w:rsidRPr="005C36BF" w:rsidRDefault="00417770" w:rsidP="009433ED">
      <w:pPr>
        <w:pStyle w:val="Heading1"/>
        <w:jc w:val="both"/>
        <w:rPr>
          <w:szCs w:val="24"/>
        </w:rPr>
      </w:pPr>
      <w:r w:rsidRPr="005C36BF">
        <w:rPr>
          <w:szCs w:val="24"/>
        </w:rPr>
        <w:t>LIETUVOS AKTUARŲ DRAUGIJA</w:t>
      </w:r>
      <w:bookmarkStart w:id="0" w:name="_GoBack"/>
      <w:bookmarkEnd w:id="0"/>
    </w:p>
    <w:p w14:paraId="15A18E85" w14:textId="6C935D71" w:rsidR="00417770" w:rsidRPr="005C36BF" w:rsidRDefault="00417770" w:rsidP="009433ED">
      <w:pPr>
        <w:pStyle w:val="Heading2"/>
        <w:jc w:val="both"/>
      </w:pPr>
      <w:proofErr w:type="spellStart"/>
      <w:r>
        <w:t>Aktuarinės</w:t>
      </w:r>
      <w:proofErr w:type="spellEnd"/>
      <w:r>
        <w:t xml:space="preserve"> veiklos standartas Nr. 2</w:t>
      </w:r>
    </w:p>
    <w:p w14:paraId="71E530BF" w14:textId="77777777" w:rsidR="00417770" w:rsidRPr="005C36BF" w:rsidRDefault="00417770" w:rsidP="009433ED">
      <w:pPr>
        <w:jc w:val="both"/>
        <w:rPr>
          <w:rFonts w:ascii="Constantia" w:hAnsi="Constantia" w:cs="Latha"/>
          <w:b/>
          <w:sz w:val="28"/>
          <w:szCs w:val="28"/>
        </w:rPr>
      </w:pPr>
    </w:p>
    <w:p w14:paraId="008C0494" w14:textId="77777777" w:rsidR="00417770" w:rsidRPr="00A92948" w:rsidRDefault="00417770" w:rsidP="009433ED">
      <w:pPr>
        <w:autoSpaceDE w:val="0"/>
        <w:autoSpaceDN w:val="0"/>
        <w:adjustRightInd w:val="0"/>
        <w:ind w:left="709"/>
        <w:jc w:val="both"/>
        <w:rPr>
          <w:rFonts w:cstheme="minorHAnsi"/>
          <w:b/>
        </w:rPr>
      </w:pPr>
      <w:r w:rsidRPr="00A92948">
        <w:rPr>
          <w:rFonts w:cstheme="minorHAnsi"/>
          <w:b/>
        </w:rPr>
        <w:t>Dokumento keitimo istorija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040"/>
        <w:gridCol w:w="2950"/>
        <w:gridCol w:w="4038"/>
      </w:tblGrid>
      <w:tr w:rsidR="00417770" w:rsidRPr="005C36BF" w14:paraId="369FAA93" w14:textId="77777777" w:rsidTr="002D44C1">
        <w:tc>
          <w:tcPr>
            <w:tcW w:w="831" w:type="pct"/>
            <w:shd w:val="clear" w:color="auto" w:fill="DBE5F1"/>
            <w:vAlign w:val="center"/>
          </w:tcPr>
          <w:p w14:paraId="1698588B" w14:textId="77777777" w:rsidR="00417770" w:rsidRPr="00A92948" w:rsidRDefault="00417770" w:rsidP="009433ED">
            <w:pPr>
              <w:autoSpaceDE w:val="0"/>
              <w:autoSpaceDN w:val="0"/>
              <w:adjustRightInd w:val="0"/>
              <w:spacing w:after="0"/>
              <w:jc w:val="both"/>
              <w:rPr>
                <w:rFonts w:cstheme="minorHAnsi"/>
              </w:rPr>
            </w:pPr>
            <w:r w:rsidRPr="00A92948">
              <w:rPr>
                <w:rFonts w:cstheme="minorHAnsi"/>
              </w:rPr>
              <w:t>Data</w:t>
            </w:r>
          </w:p>
        </w:tc>
        <w:tc>
          <w:tcPr>
            <w:tcW w:w="540" w:type="pct"/>
            <w:shd w:val="clear" w:color="auto" w:fill="DBE5F1"/>
          </w:tcPr>
          <w:p w14:paraId="6D897781" w14:textId="77777777" w:rsidR="00417770" w:rsidRPr="00A92948" w:rsidRDefault="00417770" w:rsidP="009433ED">
            <w:pPr>
              <w:autoSpaceDE w:val="0"/>
              <w:autoSpaceDN w:val="0"/>
              <w:adjustRightInd w:val="0"/>
              <w:spacing w:after="0"/>
              <w:jc w:val="both"/>
              <w:rPr>
                <w:rFonts w:cstheme="minorHAnsi"/>
              </w:rPr>
            </w:pPr>
            <w:r w:rsidRPr="00A92948">
              <w:rPr>
                <w:rFonts w:cstheme="minorHAnsi"/>
              </w:rPr>
              <w:t>Versija</w:t>
            </w:r>
          </w:p>
        </w:tc>
        <w:tc>
          <w:tcPr>
            <w:tcW w:w="1532" w:type="pct"/>
            <w:shd w:val="clear" w:color="auto" w:fill="DBE5F1"/>
            <w:vAlign w:val="center"/>
          </w:tcPr>
          <w:p w14:paraId="4DBA7F3E" w14:textId="77777777" w:rsidR="00417770" w:rsidRPr="00A92948" w:rsidRDefault="00417770" w:rsidP="009433ED">
            <w:pPr>
              <w:autoSpaceDE w:val="0"/>
              <w:autoSpaceDN w:val="0"/>
              <w:adjustRightInd w:val="0"/>
              <w:spacing w:after="0"/>
              <w:jc w:val="both"/>
              <w:rPr>
                <w:rFonts w:cstheme="minorHAnsi"/>
              </w:rPr>
            </w:pPr>
            <w:r w:rsidRPr="00A92948">
              <w:rPr>
                <w:rFonts w:cstheme="minorHAnsi"/>
              </w:rPr>
              <w:t>Autorius</w:t>
            </w:r>
          </w:p>
        </w:tc>
        <w:tc>
          <w:tcPr>
            <w:tcW w:w="2097" w:type="pct"/>
            <w:shd w:val="clear" w:color="auto" w:fill="DBE5F1"/>
            <w:vAlign w:val="center"/>
          </w:tcPr>
          <w:p w14:paraId="06B05AFF" w14:textId="77777777" w:rsidR="00417770" w:rsidRPr="00A92948" w:rsidRDefault="00417770" w:rsidP="009433ED">
            <w:pPr>
              <w:autoSpaceDE w:val="0"/>
              <w:autoSpaceDN w:val="0"/>
              <w:adjustRightInd w:val="0"/>
              <w:spacing w:after="0"/>
              <w:jc w:val="both"/>
              <w:rPr>
                <w:rFonts w:cstheme="minorHAnsi"/>
              </w:rPr>
            </w:pPr>
            <w:r w:rsidRPr="00A92948">
              <w:rPr>
                <w:rFonts w:cstheme="minorHAnsi"/>
              </w:rPr>
              <w:t>Keitimų aprašymas</w:t>
            </w:r>
          </w:p>
        </w:tc>
      </w:tr>
      <w:tr w:rsidR="00417770" w:rsidRPr="005C36BF" w14:paraId="31F6B4E4" w14:textId="77777777" w:rsidTr="002D44C1">
        <w:tc>
          <w:tcPr>
            <w:tcW w:w="831" w:type="pct"/>
            <w:vAlign w:val="center"/>
          </w:tcPr>
          <w:p w14:paraId="265F9D40" w14:textId="4372C5A6" w:rsidR="00417770" w:rsidRPr="00A92948" w:rsidRDefault="00417770" w:rsidP="009433ED">
            <w:pPr>
              <w:autoSpaceDE w:val="0"/>
              <w:autoSpaceDN w:val="0"/>
              <w:adjustRightInd w:val="0"/>
              <w:spacing w:after="0"/>
              <w:jc w:val="both"/>
              <w:rPr>
                <w:rFonts w:cstheme="minorHAnsi"/>
              </w:rPr>
            </w:pPr>
            <w:r w:rsidRPr="00A92948">
              <w:rPr>
                <w:rFonts w:cstheme="minorHAnsi"/>
              </w:rPr>
              <w:t>201</w:t>
            </w:r>
            <w:r>
              <w:rPr>
                <w:rFonts w:cstheme="minorHAnsi"/>
              </w:rPr>
              <w:t>8</w:t>
            </w:r>
            <w:r w:rsidRPr="00A92948">
              <w:rPr>
                <w:rFonts w:cstheme="minorHAnsi"/>
              </w:rPr>
              <w:t>-0</w:t>
            </w:r>
            <w:r>
              <w:rPr>
                <w:rFonts w:cstheme="minorHAnsi"/>
              </w:rPr>
              <w:t>9</w:t>
            </w:r>
            <w:r w:rsidRPr="00A92948">
              <w:rPr>
                <w:rFonts w:cstheme="minorHAnsi"/>
              </w:rPr>
              <w:t>-</w:t>
            </w:r>
            <w:r>
              <w:rPr>
                <w:rFonts w:cstheme="minorHAnsi"/>
              </w:rPr>
              <w:t>01</w:t>
            </w:r>
          </w:p>
        </w:tc>
        <w:tc>
          <w:tcPr>
            <w:tcW w:w="540" w:type="pct"/>
            <w:vAlign w:val="center"/>
          </w:tcPr>
          <w:p w14:paraId="3D205D8B" w14:textId="77777777" w:rsidR="00417770" w:rsidRPr="00A92948" w:rsidRDefault="00417770" w:rsidP="009433ED">
            <w:pPr>
              <w:autoSpaceDE w:val="0"/>
              <w:autoSpaceDN w:val="0"/>
              <w:adjustRightInd w:val="0"/>
              <w:spacing w:after="0"/>
              <w:jc w:val="both"/>
              <w:rPr>
                <w:rFonts w:cstheme="minorHAnsi"/>
              </w:rPr>
            </w:pPr>
            <w:r w:rsidRPr="00A92948">
              <w:rPr>
                <w:rFonts w:cstheme="minorHAnsi"/>
              </w:rPr>
              <w:t>1</w:t>
            </w:r>
          </w:p>
        </w:tc>
        <w:tc>
          <w:tcPr>
            <w:tcW w:w="1532" w:type="pct"/>
            <w:vAlign w:val="center"/>
          </w:tcPr>
          <w:p w14:paraId="1DB1674E" w14:textId="77777777" w:rsidR="00417770" w:rsidRDefault="00417770" w:rsidP="009433ED">
            <w:pPr>
              <w:autoSpaceDE w:val="0"/>
              <w:autoSpaceDN w:val="0"/>
              <w:adjustRightInd w:val="0"/>
              <w:spacing w:after="0"/>
              <w:jc w:val="both"/>
              <w:rPr>
                <w:rFonts w:cstheme="minorHAnsi"/>
              </w:rPr>
            </w:pPr>
            <w:r>
              <w:rPr>
                <w:rFonts w:cstheme="minorHAnsi"/>
              </w:rPr>
              <w:t xml:space="preserve">Projekto darbo grupė: </w:t>
            </w:r>
          </w:p>
          <w:p w14:paraId="39D4CB97" w14:textId="799049FC" w:rsidR="00417770" w:rsidRPr="00A92948" w:rsidRDefault="00417770" w:rsidP="009433ED">
            <w:pPr>
              <w:autoSpaceDE w:val="0"/>
              <w:autoSpaceDN w:val="0"/>
              <w:adjustRightInd w:val="0"/>
              <w:spacing w:after="0"/>
              <w:jc w:val="both"/>
              <w:rPr>
                <w:rFonts w:cstheme="minorHAnsi"/>
              </w:rPr>
            </w:pPr>
            <w:r w:rsidRPr="00A92948">
              <w:rPr>
                <w:rFonts w:cstheme="minorHAnsi"/>
              </w:rPr>
              <w:t xml:space="preserve"> G</w:t>
            </w:r>
            <w:r>
              <w:rPr>
                <w:rFonts w:cstheme="minorHAnsi"/>
              </w:rPr>
              <w:t>.</w:t>
            </w:r>
            <w:r w:rsidRPr="00A92948">
              <w:rPr>
                <w:rFonts w:cstheme="minorHAnsi"/>
              </w:rPr>
              <w:t>Girdžiūtė</w:t>
            </w:r>
            <w:r>
              <w:rPr>
                <w:rFonts w:cstheme="minorHAnsi"/>
              </w:rPr>
              <w:t xml:space="preserve">, </w:t>
            </w:r>
            <w:r w:rsidRPr="00A92948">
              <w:rPr>
                <w:rFonts w:cstheme="minorHAnsi"/>
              </w:rPr>
              <w:t>I</w:t>
            </w:r>
            <w:r>
              <w:rPr>
                <w:rFonts w:cstheme="minorHAnsi"/>
              </w:rPr>
              <w:t>.K</w:t>
            </w:r>
            <w:r w:rsidRPr="00A92948">
              <w:rPr>
                <w:rFonts w:cstheme="minorHAnsi"/>
              </w:rPr>
              <w:t xml:space="preserve">riaučiūnienė </w:t>
            </w:r>
            <w:proofErr w:type="spellStart"/>
            <w:r w:rsidRPr="00A92948">
              <w:rPr>
                <w:rFonts w:cstheme="minorHAnsi"/>
              </w:rPr>
              <w:t>A</w:t>
            </w:r>
            <w:r>
              <w:rPr>
                <w:rFonts w:cstheme="minorHAnsi"/>
              </w:rPr>
              <w:t>.</w:t>
            </w:r>
            <w:r w:rsidRPr="00A92948">
              <w:rPr>
                <w:rFonts w:cstheme="minorHAnsi"/>
              </w:rPr>
              <w:t>Skučaitė</w:t>
            </w:r>
            <w:proofErr w:type="spellEnd"/>
            <w:r>
              <w:rPr>
                <w:rFonts w:cstheme="minorHAnsi"/>
              </w:rPr>
              <w:t xml:space="preserve">, </w:t>
            </w:r>
            <w:proofErr w:type="spellStart"/>
            <w:r>
              <w:rPr>
                <w:rFonts w:cstheme="minorHAnsi"/>
              </w:rPr>
              <w:t>Š.Bazaras</w:t>
            </w:r>
            <w:proofErr w:type="spellEnd"/>
          </w:p>
        </w:tc>
        <w:tc>
          <w:tcPr>
            <w:tcW w:w="2097" w:type="pct"/>
            <w:vAlign w:val="center"/>
          </w:tcPr>
          <w:p w14:paraId="339338CC" w14:textId="77777777" w:rsidR="00417770" w:rsidRPr="00A92948" w:rsidRDefault="00417770" w:rsidP="009433ED">
            <w:pPr>
              <w:autoSpaceDE w:val="0"/>
              <w:autoSpaceDN w:val="0"/>
              <w:adjustRightInd w:val="0"/>
              <w:spacing w:after="0"/>
              <w:jc w:val="both"/>
              <w:rPr>
                <w:rFonts w:cstheme="minorHAnsi"/>
              </w:rPr>
            </w:pPr>
            <w:r w:rsidRPr="00A92948">
              <w:rPr>
                <w:rFonts w:cstheme="minorHAnsi"/>
              </w:rPr>
              <w:t>Pradinė dokumento versija</w:t>
            </w:r>
          </w:p>
        </w:tc>
      </w:tr>
      <w:tr w:rsidR="00417770" w:rsidRPr="005C36BF" w14:paraId="609548C6" w14:textId="77777777" w:rsidTr="002D44C1">
        <w:tc>
          <w:tcPr>
            <w:tcW w:w="831" w:type="pct"/>
          </w:tcPr>
          <w:p w14:paraId="60864CF1" w14:textId="77777777" w:rsidR="00417770" w:rsidRPr="005C36BF" w:rsidRDefault="00417770" w:rsidP="009433ED">
            <w:pPr>
              <w:autoSpaceDE w:val="0"/>
              <w:autoSpaceDN w:val="0"/>
              <w:adjustRightInd w:val="0"/>
              <w:spacing w:after="0"/>
              <w:jc w:val="both"/>
              <w:rPr>
                <w:rFonts w:ascii="Tahoma" w:hAnsi="Tahoma" w:cs="Tahoma"/>
              </w:rPr>
            </w:pPr>
          </w:p>
        </w:tc>
        <w:tc>
          <w:tcPr>
            <w:tcW w:w="540" w:type="pct"/>
          </w:tcPr>
          <w:p w14:paraId="1B42A9A5" w14:textId="77777777" w:rsidR="00417770" w:rsidRPr="005C36BF" w:rsidRDefault="00417770" w:rsidP="009433ED">
            <w:pPr>
              <w:autoSpaceDE w:val="0"/>
              <w:autoSpaceDN w:val="0"/>
              <w:adjustRightInd w:val="0"/>
              <w:spacing w:after="0"/>
              <w:jc w:val="both"/>
              <w:rPr>
                <w:rFonts w:ascii="Tahoma" w:hAnsi="Tahoma" w:cs="Tahoma"/>
              </w:rPr>
            </w:pPr>
          </w:p>
        </w:tc>
        <w:tc>
          <w:tcPr>
            <w:tcW w:w="1532" w:type="pct"/>
          </w:tcPr>
          <w:p w14:paraId="6772EE97" w14:textId="77777777" w:rsidR="00417770" w:rsidRPr="005C36BF" w:rsidRDefault="00417770" w:rsidP="009433ED">
            <w:pPr>
              <w:autoSpaceDE w:val="0"/>
              <w:autoSpaceDN w:val="0"/>
              <w:adjustRightInd w:val="0"/>
              <w:spacing w:after="0"/>
              <w:jc w:val="both"/>
              <w:rPr>
                <w:rFonts w:ascii="Tahoma" w:hAnsi="Tahoma" w:cs="Tahoma"/>
              </w:rPr>
            </w:pPr>
          </w:p>
        </w:tc>
        <w:tc>
          <w:tcPr>
            <w:tcW w:w="2097" w:type="pct"/>
          </w:tcPr>
          <w:p w14:paraId="3F37F3EB" w14:textId="77777777" w:rsidR="00417770" w:rsidRPr="005C36BF" w:rsidRDefault="00417770" w:rsidP="009433ED">
            <w:pPr>
              <w:autoSpaceDE w:val="0"/>
              <w:autoSpaceDN w:val="0"/>
              <w:adjustRightInd w:val="0"/>
              <w:spacing w:after="0"/>
              <w:jc w:val="both"/>
              <w:rPr>
                <w:rFonts w:ascii="Tahoma" w:hAnsi="Tahoma" w:cs="Tahoma"/>
              </w:rPr>
            </w:pPr>
          </w:p>
        </w:tc>
      </w:tr>
    </w:tbl>
    <w:p w14:paraId="6023B95F" w14:textId="77777777" w:rsidR="002D44C1" w:rsidRDefault="002D44C1" w:rsidP="009433ED">
      <w:pPr>
        <w:pStyle w:val="ListParagraph"/>
        <w:jc w:val="both"/>
        <w:rPr>
          <w:b/>
        </w:rPr>
      </w:pPr>
    </w:p>
    <w:p w14:paraId="448D7FA1" w14:textId="5231DF16" w:rsidR="00417770" w:rsidRDefault="00FD3370" w:rsidP="009433ED">
      <w:pPr>
        <w:pStyle w:val="ListParagraph"/>
        <w:numPr>
          <w:ilvl w:val="0"/>
          <w:numId w:val="1"/>
        </w:numPr>
        <w:jc w:val="both"/>
        <w:rPr>
          <w:b/>
        </w:rPr>
      </w:pPr>
      <w:r w:rsidRPr="008E46C0">
        <w:rPr>
          <w:b/>
        </w:rPr>
        <w:t>Bendroji dalis</w:t>
      </w:r>
    </w:p>
    <w:p w14:paraId="61193461" w14:textId="77777777" w:rsidR="008E46C0" w:rsidRPr="008E46C0" w:rsidRDefault="008E46C0" w:rsidP="009433ED">
      <w:pPr>
        <w:pStyle w:val="ListParagraph"/>
        <w:jc w:val="both"/>
        <w:rPr>
          <w:b/>
        </w:rPr>
      </w:pPr>
    </w:p>
    <w:p w14:paraId="522638F4" w14:textId="6C86F2EB" w:rsidR="008E46C0" w:rsidRDefault="008E46C0" w:rsidP="009433ED">
      <w:pPr>
        <w:pStyle w:val="ListParagraph"/>
        <w:numPr>
          <w:ilvl w:val="1"/>
          <w:numId w:val="1"/>
        </w:numPr>
        <w:jc w:val="both"/>
        <w:rPr>
          <w:rFonts w:cstheme="minorHAnsi"/>
        </w:rPr>
      </w:pPr>
      <w:proofErr w:type="spellStart"/>
      <w:r w:rsidRPr="008E46C0">
        <w:rPr>
          <w:rFonts w:cstheme="minorHAnsi"/>
        </w:rPr>
        <w:t>Aktuarinės</w:t>
      </w:r>
      <w:proofErr w:type="spellEnd"/>
      <w:r w:rsidRPr="008E46C0">
        <w:rPr>
          <w:rFonts w:cstheme="minorHAnsi"/>
        </w:rPr>
        <w:t xml:space="preserve"> veiklos standart</w:t>
      </w:r>
      <w:r w:rsidR="00F358EC">
        <w:rPr>
          <w:rFonts w:cstheme="minorHAnsi"/>
        </w:rPr>
        <w:t>as</w:t>
      </w:r>
      <w:r w:rsidRPr="008E46C0">
        <w:rPr>
          <w:rFonts w:cstheme="minorHAnsi"/>
        </w:rPr>
        <w:t xml:space="preserve"> Nr. </w:t>
      </w:r>
      <w:r>
        <w:rPr>
          <w:rFonts w:cstheme="minorHAnsi"/>
        </w:rPr>
        <w:t>2</w:t>
      </w:r>
      <w:r w:rsidRPr="008E46C0">
        <w:rPr>
          <w:rFonts w:cstheme="minorHAnsi"/>
        </w:rPr>
        <w:t xml:space="preserve"> (toliau – standartas) </w:t>
      </w:r>
      <w:r w:rsidR="00070E4D">
        <w:rPr>
          <w:rFonts w:cstheme="minorHAnsi"/>
        </w:rPr>
        <w:t>taikomas</w:t>
      </w:r>
      <w:r w:rsidR="00B9355F">
        <w:rPr>
          <w:rFonts w:cstheme="minorHAnsi"/>
        </w:rPr>
        <w:t xml:space="preserve"> </w:t>
      </w:r>
      <w:proofErr w:type="spellStart"/>
      <w:r w:rsidRPr="008E46C0">
        <w:rPr>
          <w:rFonts w:cstheme="minorHAnsi"/>
          <w:i/>
        </w:rPr>
        <w:t>aktuarams</w:t>
      </w:r>
      <w:proofErr w:type="spellEnd"/>
      <w:r w:rsidRPr="008E46C0">
        <w:rPr>
          <w:rFonts w:cstheme="minorHAnsi"/>
          <w:i/>
        </w:rPr>
        <w:t>,</w:t>
      </w:r>
      <w:r w:rsidRPr="008E46C0">
        <w:rPr>
          <w:rFonts w:cstheme="minorHAnsi"/>
        </w:rPr>
        <w:t xml:space="preserve"> </w:t>
      </w:r>
      <w:r w:rsidR="004900FB" w:rsidRPr="00223975">
        <w:rPr>
          <w:rFonts w:cstheme="minorHAnsi"/>
        </w:rPr>
        <w:t xml:space="preserve">vykdantiems </w:t>
      </w:r>
      <w:proofErr w:type="spellStart"/>
      <w:r w:rsidR="004900FB" w:rsidRPr="00223975">
        <w:rPr>
          <w:rFonts w:cstheme="minorHAnsi"/>
          <w:i/>
        </w:rPr>
        <w:t>aktuarinę</w:t>
      </w:r>
      <w:proofErr w:type="spellEnd"/>
      <w:r w:rsidR="004900FB" w:rsidRPr="00223975">
        <w:rPr>
          <w:rFonts w:cstheme="minorHAnsi"/>
          <w:i/>
        </w:rPr>
        <w:t xml:space="preserve"> veiklą</w:t>
      </w:r>
      <w:r w:rsidR="004900FB" w:rsidRPr="00223975">
        <w:rPr>
          <w:rFonts w:cstheme="minorHAnsi"/>
        </w:rPr>
        <w:t xml:space="preserve"> Lietuvos Respublikoje arba kitose šalyse</w:t>
      </w:r>
      <w:r w:rsidR="004900FB">
        <w:rPr>
          <w:rFonts w:cstheme="minorHAnsi"/>
        </w:rPr>
        <w:t xml:space="preserve">, kurie turi parengti </w:t>
      </w:r>
      <w:proofErr w:type="spellStart"/>
      <w:r w:rsidR="004900FB" w:rsidRPr="004900FB">
        <w:rPr>
          <w:rFonts w:cstheme="minorHAnsi"/>
          <w:i/>
        </w:rPr>
        <w:t>Aktuarinės</w:t>
      </w:r>
      <w:proofErr w:type="spellEnd"/>
      <w:r w:rsidR="004900FB" w:rsidRPr="004900FB">
        <w:rPr>
          <w:rFonts w:cstheme="minorHAnsi"/>
          <w:i/>
        </w:rPr>
        <w:t xml:space="preserve"> funkcijos ataskaitą</w:t>
      </w:r>
      <w:r w:rsidR="004900FB">
        <w:rPr>
          <w:rFonts w:cstheme="minorHAnsi"/>
          <w:i/>
        </w:rPr>
        <w:t xml:space="preserve"> </w:t>
      </w:r>
      <w:r w:rsidR="004900FB" w:rsidRPr="004900FB">
        <w:rPr>
          <w:rFonts w:cstheme="minorHAnsi"/>
        </w:rPr>
        <w:t xml:space="preserve">pagal </w:t>
      </w:r>
      <w:r w:rsidR="004900FB">
        <w:rPr>
          <w:rFonts w:cstheme="minorHAnsi"/>
        </w:rPr>
        <w:t>Mokumas II direktyvos 48 straipsnį ir Deleguotojo Komisijos Reglamento 272 straipsnio 8 paragrafą.</w:t>
      </w:r>
    </w:p>
    <w:p w14:paraId="12810EA8" w14:textId="06AB8A88" w:rsidR="004900FB" w:rsidRDefault="004900FB" w:rsidP="009433ED">
      <w:pPr>
        <w:pStyle w:val="ListParagraph"/>
        <w:numPr>
          <w:ilvl w:val="1"/>
          <w:numId w:val="1"/>
        </w:numPr>
        <w:jc w:val="both"/>
        <w:rPr>
          <w:rFonts w:cstheme="minorHAnsi"/>
        </w:rPr>
      </w:pPr>
      <w:r>
        <w:rPr>
          <w:rFonts w:cstheme="minorHAnsi"/>
        </w:rPr>
        <w:t xml:space="preserve"> Standarto tikslas pateikti </w:t>
      </w:r>
      <w:proofErr w:type="spellStart"/>
      <w:r w:rsidRPr="004900FB">
        <w:rPr>
          <w:rFonts w:cstheme="minorHAnsi"/>
          <w:i/>
        </w:rPr>
        <w:t>aktuarams</w:t>
      </w:r>
      <w:proofErr w:type="spellEnd"/>
      <w:r>
        <w:rPr>
          <w:rFonts w:cstheme="minorHAnsi"/>
        </w:rPr>
        <w:t xml:space="preserve"> gaires</w:t>
      </w:r>
      <w:r w:rsidR="00F358EC">
        <w:rPr>
          <w:rFonts w:cstheme="minorHAnsi"/>
        </w:rPr>
        <w:t>,</w:t>
      </w:r>
      <w:r>
        <w:rPr>
          <w:rFonts w:cstheme="minorHAnsi"/>
        </w:rPr>
        <w:t xml:space="preserve"> </w:t>
      </w:r>
      <w:r w:rsidR="001C4260">
        <w:rPr>
          <w:rFonts w:cstheme="minorHAnsi"/>
        </w:rPr>
        <w:t xml:space="preserve">kaip tinkamai parengti </w:t>
      </w:r>
      <w:proofErr w:type="spellStart"/>
      <w:r w:rsidR="001C4260" w:rsidRPr="004900FB">
        <w:rPr>
          <w:rFonts w:cstheme="minorHAnsi"/>
          <w:i/>
        </w:rPr>
        <w:t>Aktuarinės</w:t>
      </w:r>
      <w:proofErr w:type="spellEnd"/>
      <w:r w:rsidR="001C4260" w:rsidRPr="004900FB">
        <w:rPr>
          <w:rFonts w:cstheme="minorHAnsi"/>
          <w:i/>
        </w:rPr>
        <w:t xml:space="preserve"> funkcijos ataskaitą</w:t>
      </w:r>
      <w:r w:rsidR="001C4260">
        <w:rPr>
          <w:rFonts w:cstheme="minorHAnsi"/>
          <w:i/>
        </w:rPr>
        <w:t xml:space="preserve">, </w:t>
      </w:r>
      <w:r w:rsidR="001C4260" w:rsidRPr="001C4260">
        <w:rPr>
          <w:rFonts w:cstheme="minorHAnsi"/>
        </w:rPr>
        <w:t>atsižvelgiant į</w:t>
      </w:r>
      <w:r w:rsidR="001C4260">
        <w:rPr>
          <w:rFonts w:cstheme="minorHAnsi"/>
          <w:i/>
        </w:rPr>
        <w:t xml:space="preserve"> vartotoją </w:t>
      </w:r>
      <w:r w:rsidR="001C4260">
        <w:rPr>
          <w:rFonts w:cstheme="minorHAnsi"/>
        </w:rPr>
        <w:t>bei</w:t>
      </w:r>
      <w:r w:rsidR="00070E4D">
        <w:rPr>
          <w:rFonts w:cstheme="minorHAnsi"/>
        </w:rPr>
        <w:t xml:space="preserve"> atitikti</w:t>
      </w:r>
      <w:r w:rsidR="001C4260">
        <w:rPr>
          <w:rFonts w:cstheme="minorHAnsi"/>
        </w:rPr>
        <w:t xml:space="preserve"> </w:t>
      </w:r>
      <w:r w:rsidR="001E66A1">
        <w:rPr>
          <w:rFonts w:cstheme="minorHAnsi"/>
        </w:rPr>
        <w:t xml:space="preserve">Mokumas II direktyvos 48 straipsnyje ir Deleguotojo ES Komisijos Reglamento 2015/35 272 straipsnio 8 paragrafe </w:t>
      </w:r>
      <w:r w:rsidR="001C4260">
        <w:rPr>
          <w:rFonts w:cstheme="minorHAnsi"/>
        </w:rPr>
        <w:t>nustatytus reikalavimus.</w:t>
      </w:r>
    </w:p>
    <w:p w14:paraId="0B8FC4EE" w14:textId="7DEE3F32" w:rsidR="001C4260" w:rsidRPr="008E46C0" w:rsidRDefault="001C4260" w:rsidP="009433ED">
      <w:pPr>
        <w:pStyle w:val="ListParagraph"/>
        <w:numPr>
          <w:ilvl w:val="1"/>
          <w:numId w:val="1"/>
        </w:numPr>
        <w:jc w:val="both"/>
        <w:rPr>
          <w:rFonts w:cstheme="minorHAnsi"/>
        </w:rPr>
      </w:pPr>
      <w:r>
        <w:rPr>
          <w:rFonts w:cstheme="minorHAnsi"/>
        </w:rPr>
        <w:t xml:space="preserve">Standarte naudojamos sąvokos atitinka sąvokas, numatytas LAD </w:t>
      </w:r>
      <w:proofErr w:type="spellStart"/>
      <w:r>
        <w:rPr>
          <w:rFonts w:cstheme="minorHAnsi"/>
        </w:rPr>
        <w:t>Aktuarinės</w:t>
      </w:r>
      <w:proofErr w:type="spellEnd"/>
      <w:r>
        <w:rPr>
          <w:rFonts w:cstheme="minorHAnsi"/>
        </w:rPr>
        <w:t xml:space="preserve"> veiklos standarte Nr. 1, teisės aktuose, jei</w:t>
      </w:r>
      <w:r w:rsidR="002D44C1">
        <w:rPr>
          <w:rFonts w:cstheme="minorHAnsi"/>
        </w:rPr>
        <w:t>gu</w:t>
      </w:r>
      <w:r>
        <w:rPr>
          <w:rFonts w:cstheme="minorHAnsi"/>
        </w:rPr>
        <w:t xml:space="preserve"> šiame Standarte neapibrėžta kitaip. </w:t>
      </w:r>
    </w:p>
    <w:p w14:paraId="7869183C" w14:textId="72D3B59F" w:rsidR="00FD3370" w:rsidRDefault="00FD3370" w:rsidP="009433ED">
      <w:pPr>
        <w:pStyle w:val="ListParagraph"/>
        <w:jc w:val="both"/>
      </w:pPr>
    </w:p>
    <w:p w14:paraId="3EEB9078" w14:textId="12E2FC99" w:rsidR="00FD3370" w:rsidRDefault="00FD3370" w:rsidP="009433ED">
      <w:pPr>
        <w:pStyle w:val="ListParagraph"/>
        <w:numPr>
          <w:ilvl w:val="0"/>
          <w:numId w:val="1"/>
        </w:numPr>
        <w:jc w:val="both"/>
        <w:rPr>
          <w:b/>
        </w:rPr>
      </w:pPr>
      <w:r w:rsidRPr="001C4260">
        <w:rPr>
          <w:b/>
        </w:rPr>
        <w:t>Apibrėžimai</w:t>
      </w:r>
    </w:p>
    <w:p w14:paraId="2901221F" w14:textId="77777777" w:rsidR="002D44C1" w:rsidRPr="001C4260" w:rsidRDefault="002D44C1" w:rsidP="009433ED">
      <w:pPr>
        <w:pStyle w:val="ListParagraph"/>
        <w:jc w:val="both"/>
        <w:rPr>
          <w:b/>
        </w:rPr>
      </w:pPr>
    </w:p>
    <w:p w14:paraId="01B7E8DD" w14:textId="07D3E39D" w:rsidR="009937BA" w:rsidRDefault="002D44C1" w:rsidP="009937BA">
      <w:pPr>
        <w:pStyle w:val="ListParagraph"/>
        <w:numPr>
          <w:ilvl w:val="1"/>
          <w:numId w:val="1"/>
        </w:numPr>
        <w:ind w:left="709"/>
        <w:jc w:val="both"/>
      </w:pPr>
      <w:r>
        <w:t xml:space="preserve"> </w:t>
      </w:r>
      <w:proofErr w:type="spellStart"/>
      <w:r w:rsidR="001E66A1">
        <w:t>Aktuarinė</w:t>
      </w:r>
      <w:proofErr w:type="spellEnd"/>
      <w:r w:rsidR="001E66A1">
        <w:t xml:space="preserve"> funkcija (</w:t>
      </w:r>
      <w:r w:rsidR="008E46C0">
        <w:t>AF</w:t>
      </w:r>
      <w:r w:rsidR="001E66A1">
        <w:t>)</w:t>
      </w:r>
      <w:r w:rsidR="008E46C0">
        <w:t xml:space="preserve"> </w:t>
      </w:r>
      <w:r w:rsidR="001E66A1">
        <w:t>–</w:t>
      </w:r>
      <w:r w:rsidR="008E46C0">
        <w:t xml:space="preserve"> </w:t>
      </w:r>
      <w:r w:rsidR="009937BA">
        <w:t xml:space="preserve">administracinis gebėjimas įvykdyti tam tikras valdymo užduotis pagal Mokumas II direktyvos </w:t>
      </w:r>
      <w:r w:rsidR="009937BA">
        <w:rPr>
          <w:lang w:val="en-US"/>
        </w:rPr>
        <w:t>48</w:t>
      </w:r>
      <w:r w:rsidR="009937BA">
        <w:t xml:space="preserve"> straipsnį. </w:t>
      </w:r>
    </w:p>
    <w:p w14:paraId="024E1055" w14:textId="6B0D9C9D" w:rsidR="00790DE6" w:rsidRPr="00BC1201" w:rsidRDefault="002D44C1" w:rsidP="009433ED">
      <w:pPr>
        <w:pStyle w:val="ListParagraph"/>
        <w:numPr>
          <w:ilvl w:val="1"/>
          <w:numId w:val="1"/>
        </w:numPr>
        <w:ind w:left="709"/>
        <w:jc w:val="both"/>
      </w:pPr>
      <w:r>
        <w:t xml:space="preserve"> </w:t>
      </w:r>
      <w:proofErr w:type="spellStart"/>
      <w:r w:rsidR="00790DE6" w:rsidRPr="00BC1201">
        <w:t>Aktuarinės</w:t>
      </w:r>
      <w:proofErr w:type="spellEnd"/>
      <w:r w:rsidR="00790DE6" w:rsidRPr="00BC1201">
        <w:t xml:space="preserve"> funkcijos ataskaita (AFA) – </w:t>
      </w:r>
      <w:proofErr w:type="spellStart"/>
      <w:r w:rsidR="00790DE6" w:rsidRPr="00BC1201">
        <w:t>aktuarinės</w:t>
      </w:r>
      <w:proofErr w:type="spellEnd"/>
      <w:r w:rsidR="00790DE6" w:rsidRPr="00BC1201">
        <w:t xml:space="preserve"> funkcijos ataskaita adm</w:t>
      </w:r>
      <w:r w:rsidR="00790DE6">
        <w:t>inistraciniam</w:t>
      </w:r>
      <w:r w:rsidR="00790DE6" w:rsidRPr="00BC1201">
        <w:t>, valdymo ar priežiūros organui</w:t>
      </w:r>
      <w:r w:rsidR="00790DE6">
        <w:t xml:space="preserve"> </w:t>
      </w:r>
      <w:r w:rsidR="00790DE6" w:rsidRPr="00BC1201">
        <w:t>pagal Mokumas II direktyvos 48 straipsnį i</w:t>
      </w:r>
      <w:r w:rsidR="00790DE6">
        <w:t>r su juo susijusius reglamentus</w:t>
      </w:r>
      <w:r w:rsidR="00790DE6" w:rsidRPr="00BC1201">
        <w:t xml:space="preserve">, standartus ir gaires. </w:t>
      </w:r>
      <w:r w:rsidR="00790DE6" w:rsidRPr="009433ED">
        <w:rPr>
          <w:i/>
        </w:rPr>
        <w:t>AFA</w:t>
      </w:r>
      <w:r w:rsidR="00790DE6" w:rsidRPr="00BC1201">
        <w:t xml:space="preserve"> gali susidėti iš kelių dalių, kurios</w:t>
      </w:r>
      <w:r w:rsidR="00790DE6">
        <w:t xml:space="preserve"> gali būti parengt</w:t>
      </w:r>
      <w:r w:rsidR="00790DE6" w:rsidRPr="00BC1201">
        <w:t>os skirting</w:t>
      </w:r>
      <w:r w:rsidR="00790DE6">
        <w:t>u</w:t>
      </w:r>
      <w:r w:rsidR="00790DE6" w:rsidRPr="00BC1201">
        <w:t xml:space="preserve"> metu.</w:t>
      </w:r>
    </w:p>
    <w:p w14:paraId="1B3DD2CC" w14:textId="7978BB39" w:rsidR="00790DE6" w:rsidRDefault="002D44C1" w:rsidP="009433ED">
      <w:pPr>
        <w:pStyle w:val="ListParagraph"/>
        <w:numPr>
          <w:ilvl w:val="1"/>
          <w:numId w:val="1"/>
        </w:numPr>
        <w:ind w:left="709"/>
        <w:jc w:val="both"/>
      </w:pPr>
      <w:r>
        <w:t xml:space="preserve"> </w:t>
      </w:r>
      <w:r w:rsidR="00790DE6" w:rsidRPr="00BC1201">
        <w:t>AVPO – administracinis, valdymo ar priežiūros organas</w:t>
      </w:r>
      <w:r w:rsidR="001C4260">
        <w:t>.</w:t>
      </w:r>
    </w:p>
    <w:p w14:paraId="2B6430E0" w14:textId="44D192C5" w:rsidR="002D44C1" w:rsidRDefault="001E66A1" w:rsidP="009433ED">
      <w:pPr>
        <w:pStyle w:val="ListParagraph"/>
        <w:numPr>
          <w:ilvl w:val="1"/>
          <w:numId w:val="1"/>
        </w:numPr>
        <w:ind w:left="709"/>
        <w:jc w:val="both"/>
      </w:pPr>
      <w:r>
        <w:t xml:space="preserve"> </w:t>
      </w:r>
      <w:r w:rsidR="002D44C1">
        <w:t xml:space="preserve">Duomenys – </w:t>
      </w:r>
      <w:r w:rsidR="00F90B84">
        <w:t>bet kokia kokybinė ir kiekybinė informacija.</w:t>
      </w:r>
    </w:p>
    <w:p w14:paraId="6B1B885D" w14:textId="41886842" w:rsidR="002D44C1" w:rsidRDefault="001E66A1" w:rsidP="009433ED">
      <w:pPr>
        <w:pStyle w:val="ListParagraph"/>
        <w:numPr>
          <w:ilvl w:val="1"/>
          <w:numId w:val="1"/>
        </w:numPr>
        <w:ind w:left="709"/>
        <w:jc w:val="both"/>
      </w:pPr>
      <w:r>
        <w:t xml:space="preserve"> </w:t>
      </w:r>
      <w:r w:rsidR="002D44C1" w:rsidRPr="002D44C1">
        <w:t xml:space="preserve">Įmonė </w:t>
      </w:r>
      <w:r w:rsidR="002D44C1">
        <w:t xml:space="preserve">– </w:t>
      </w:r>
      <w:r w:rsidR="00F358EC">
        <w:t>d</w:t>
      </w:r>
      <w:r w:rsidR="002D44C1">
        <w:t>raudimo ar perdraudimo įmonė, kuri</w:t>
      </w:r>
      <w:r w:rsidR="00F358EC">
        <w:t>,</w:t>
      </w:r>
      <w:r w:rsidR="002D44C1">
        <w:t xml:space="preserve"> remiantis </w:t>
      </w:r>
      <w:r w:rsidR="002D44C1" w:rsidRPr="002D44C1">
        <w:rPr>
          <w:i/>
        </w:rPr>
        <w:t>Mokumas II Direktyvos</w:t>
      </w:r>
      <w:r w:rsidR="002D44C1">
        <w:t xml:space="preserve"> 14 straipsniu</w:t>
      </w:r>
      <w:r w:rsidR="00F358EC">
        <w:t>,</w:t>
      </w:r>
      <w:r w:rsidR="002D44C1">
        <w:t xml:space="preserve"> gavo leidimą verstis draudimo ar perdraudimo veikla.</w:t>
      </w:r>
    </w:p>
    <w:p w14:paraId="77BD9426" w14:textId="3168D99A" w:rsidR="00F3682E" w:rsidRDefault="002D44C1" w:rsidP="006B5F34">
      <w:pPr>
        <w:pStyle w:val="ListParagraph"/>
        <w:numPr>
          <w:ilvl w:val="1"/>
          <w:numId w:val="1"/>
        </w:numPr>
        <w:ind w:left="709"/>
        <w:jc w:val="both"/>
      </w:pPr>
      <w:r>
        <w:t xml:space="preserve"> </w:t>
      </w:r>
      <w:r w:rsidR="001C4260">
        <w:t xml:space="preserve">Interesų konfliktas – </w:t>
      </w:r>
      <w:r w:rsidR="00C22320">
        <w:t xml:space="preserve">atsiranda, kai individas ar organizacija </w:t>
      </w:r>
      <w:r w:rsidR="00344A6A">
        <w:t>turi</w:t>
      </w:r>
      <w:r w:rsidR="00C22320">
        <w:t xml:space="preserve"> kelis interesus, </w:t>
      </w:r>
      <w:r w:rsidR="008A71B6">
        <w:t xml:space="preserve">iš kurių vienas gali </w:t>
      </w:r>
      <w:r w:rsidR="00E55943">
        <w:t xml:space="preserve">daryti įtaką </w:t>
      </w:r>
      <w:r w:rsidR="00077A66">
        <w:t>atliekant</w:t>
      </w:r>
      <w:r w:rsidR="008A71B6">
        <w:t xml:space="preserve"> veiksm</w:t>
      </w:r>
      <w:r w:rsidR="00077A66">
        <w:t>us, susijusius su</w:t>
      </w:r>
      <w:r w:rsidR="008A71B6">
        <w:t xml:space="preserve"> kitu arba </w:t>
      </w:r>
      <w:r w:rsidR="00077A66">
        <w:t xml:space="preserve"> lemia, kad </w:t>
      </w:r>
      <w:r w:rsidR="006B5F34">
        <w:t>darb</w:t>
      </w:r>
      <w:r w:rsidR="00077A66">
        <w:t>as</w:t>
      </w:r>
      <w:r w:rsidR="006B5F34">
        <w:t xml:space="preserve">, </w:t>
      </w:r>
      <w:r w:rsidR="00077A66">
        <w:t>nebėra</w:t>
      </w:r>
      <w:r w:rsidR="006B5F34">
        <w:t xml:space="preserve"> ar n</w:t>
      </w:r>
      <w:r w:rsidR="00077A66">
        <w:t>ebegali būti</w:t>
      </w:r>
      <w:r w:rsidR="006B5F34">
        <w:t xml:space="preserve"> suprantamas kaip objektyvus ir nešališkas.</w:t>
      </w:r>
    </w:p>
    <w:p w14:paraId="0D543159" w14:textId="1E70B599" w:rsidR="002D44C1" w:rsidRDefault="001E66A1" w:rsidP="009433ED">
      <w:pPr>
        <w:pStyle w:val="ListParagraph"/>
        <w:numPr>
          <w:ilvl w:val="1"/>
          <w:numId w:val="1"/>
        </w:numPr>
        <w:ind w:left="709"/>
        <w:jc w:val="both"/>
      </w:pPr>
      <w:r>
        <w:t xml:space="preserve"> </w:t>
      </w:r>
      <w:r w:rsidR="002D44C1">
        <w:t>Modelis –</w:t>
      </w:r>
      <w:r w:rsidR="00877D5E">
        <w:t xml:space="preserve"> supa</w:t>
      </w:r>
      <w:r w:rsidR="00D77E37">
        <w:t>p</w:t>
      </w:r>
      <w:r w:rsidR="00877D5E">
        <w:t>rastintas</w:t>
      </w:r>
      <w:r w:rsidR="00D77E37">
        <w:t xml:space="preserve"> tam tikro </w:t>
      </w:r>
      <w:r w:rsidR="004672C4">
        <w:t>pasaulio aspekto vaizdas. Modelis aprašomas specifikacijoje, kurioje nurodom</w:t>
      </w:r>
      <w:r w:rsidR="00070E4D">
        <w:t>i</w:t>
      </w:r>
      <w:r w:rsidR="004672C4">
        <w:t xml:space="preserve"> rezultatai, kuri</w:t>
      </w:r>
      <w:r w:rsidR="009433ED">
        <w:t>uos</w:t>
      </w:r>
      <w:r w:rsidR="004672C4">
        <w:t xml:space="preserve"> siekiama gauti, įvestiniai duomenys, ryšiai tarp jų, matematinės formulės ir algoritmai, </w:t>
      </w:r>
      <w:r w:rsidR="009433ED">
        <w:t>sprendimai, siekiant gauti rezultatų rinkinį</w:t>
      </w:r>
      <w:r w:rsidR="004672C4">
        <w:t xml:space="preserve">, </w:t>
      </w:r>
      <w:r w:rsidR="009433ED">
        <w:t xml:space="preserve">naudojant įvestinius </w:t>
      </w:r>
      <w:r w:rsidR="009433ED" w:rsidRPr="009433ED">
        <w:rPr>
          <w:i/>
        </w:rPr>
        <w:t>duomenis</w:t>
      </w:r>
      <w:r w:rsidR="009433ED">
        <w:t xml:space="preserve">, prielaidas, įprastai įtraukiant </w:t>
      </w:r>
      <w:proofErr w:type="spellStart"/>
      <w:r w:rsidR="009433ED" w:rsidRPr="009433ED">
        <w:rPr>
          <w:i/>
        </w:rPr>
        <w:t>aktuaro</w:t>
      </w:r>
      <w:proofErr w:type="spellEnd"/>
      <w:r w:rsidR="009433ED">
        <w:t xml:space="preserve"> vertinimą.</w:t>
      </w:r>
    </w:p>
    <w:p w14:paraId="124F9E58" w14:textId="215A03CB" w:rsidR="00F90B84" w:rsidRDefault="001E66A1" w:rsidP="009433ED">
      <w:pPr>
        <w:pStyle w:val="ListParagraph"/>
        <w:numPr>
          <w:ilvl w:val="1"/>
          <w:numId w:val="1"/>
        </w:numPr>
        <w:tabs>
          <w:tab w:val="left" w:pos="851"/>
        </w:tabs>
        <w:ind w:left="709"/>
        <w:jc w:val="both"/>
      </w:pPr>
      <w:r>
        <w:t xml:space="preserve"> </w:t>
      </w:r>
      <w:r w:rsidR="002D44C1">
        <w:t>Mokumas II Direktyva – 2009/138/ES direktyva</w:t>
      </w:r>
    </w:p>
    <w:p w14:paraId="7D020C88" w14:textId="0B8882ED" w:rsidR="00E077A9" w:rsidRDefault="00E077A9" w:rsidP="009433ED">
      <w:pPr>
        <w:pStyle w:val="ListParagraph"/>
        <w:numPr>
          <w:ilvl w:val="1"/>
          <w:numId w:val="1"/>
        </w:numPr>
        <w:tabs>
          <w:tab w:val="left" w:pos="851"/>
        </w:tabs>
        <w:ind w:left="709"/>
        <w:jc w:val="both"/>
      </w:pPr>
      <w:r>
        <w:lastRenderedPageBreak/>
        <w:t>Profesi</w:t>
      </w:r>
      <w:r w:rsidR="00624C8B">
        <w:t>onalus</w:t>
      </w:r>
      <w:r>
        <w:t xml:space="preserve"> </w:t>
      </w:r>
      <w:r w:rsidR="00624C8B">
        <w:t>vertinimas</w:t>
      </w:r>
      <w:r>
        <w:t xml:space="preserve"> – </w:t>
      </w:r>
      <w:proofErr w:type="spellStart"/>
      <w:r w:rsidRPr="009433ED">
        <w:rPr>
          <w:i/>
        </w:rPr>
        <w:t>aktuaro</w:t>
      </w:r>
      <w:proofErr w:type="spellEnd"/>
      <w:r>
        <w:t xml:space="preserve"> </w:t>
      </w:r>
      <w:r w:rsidR="00624C8B">
        <w:t xml:space="preserve">vertinimas </w:t>
      </w:r>
      <w:r>
        <w:t xml:space="preserve">pagrįstas </w:t>
      </w:r>
      <w:proofErr w:type="spellStart"/>
      <w:r>
        <w:t>aktuarinėmis</w:t>
      </w:r>
      <w:proofErr w:type="spellEnd"/>
      <w:r>
        <w:t xml:space="preserve"> žiniomis ir patirtimi</w:t>
      </w:r>
    </w:p>
    <w:p w14:paraId="381DC736" w14:textId="5413DA3C" w:rsidR="00F90B84" w:rsidRDefault="00F90B84" w:rsidP="009433ED">
      <w:pPr>
        <w:pStyle w:val="ListParagraph"/>
        <w:numPr>
          <w:ilvl w:val="1"/>
          <w:numId w:val="1"/>
        </w:numPr>
        <w:tabs>
          <w:tab w:val="left" w:pos="851"/>
        </w:tabs>
        <w:ind w:left="709"/>
        <w:jc w:val="both"/>
      </w:pPr>
      <w:r>
        <w:t>Reikšmingumas –</w:t>
      </w:r>
      <w:r w:rsidR="00B47ED1">
        <w:t xml:space="preserve"> veiksn</w:t>
      </w:r>
      <w:r w:rsidR="003C6EA6">
        <w:t xml:space="preserve">iai yra laikomi reikšmingais, jei kartu ar atskirai paėmus, jie gali daryti įtaką </w:t>
      </w:r>
      <w:r w:rsidR="003C6EA6" w:rsidRPr="003C6EA6">
        <w:rPr>
          <w:i/>
        </w:rPr>
        <w:t>vartotojo</w:t>
      </w:r>
      <w:r w:rsidR="003C6EA6">
        <w:t xml:space="preserve"> sprendimams.</w:t>
      </w:r>
      <w:r w:rsidR="008456B4">
        <w:t xml:space="preserve"> Sprendimas dėl veiksnių reikšmingumo</w:t>
      </w:r>
      <w:r w:rsidR="00301A0B">
        <w:t xml:space="preserve"> remiasi pagrįstu </w:t>
      </w:r>
      <w:r w:rsidR="00301A0B" w:rsidRPr="00301A0B">
        <w:rPr>
          <w:i/>
        </w:rPr>
        <w:t>vartotojo</w:t>
      </w:r>
      <w:r w:rsidR="00301A0B">
        <w:t xml:space="preserve"> vertinimu ir atliekamo darbo atlikimo ir raportavimo bendru kontekstu (panašiai reikšmingai).</w:t>
      </w:r>
    </w:p>
    <w:p w14:paraId="6818004B" w14:textId="021BE58F" w:rsidR="00F90B84" w:rsidRDefault="00F90B84" w:rsidP="009433ED">
      <w:pPr>
        <w:pStyle w:val="ListParagraph"/>
        <w:numPr>
          <w:ilvl w:val="1"/>
          <w:numId w:val="1"/>
        </w:numPr>
        <w:tabs>
          <w:tab w:val="left" w:pos="851"/>
        </w:tabs>
        <w:ind w:left="709"/>
        <w:jc w:val="both"/>
      </w:pPr>
      <w:r w:rsidRPr="00F90B84">
        <w:t>Rizikos prisiėmimas</w:t>
      </w:r>
      <w:r>
        <w:t xml:space="preserve"> </w:t>
      </w:r>
      <w:r w:rsidR="00F358EC">
        <w:t>–</w:t>
      </w:r>
      <w:r>
        <w:t xml:space="preserve"> procesas, kurio metu nustatomos, įvertinamos ir įkainojamos draudimo ar perdraudimo rizikos, įskaitant draudimo ar perdraudimo įsipareigojimų prisiėmimą ar atmetimą (atsisakymą).</w:t>
      </w:r>
    </w:p>
    <w:p w14:paraId="55D247BB" w14:textId="034242B2" w:rsidR="00F90B84" w:rsidRPr="00624C8B" w:rsidRDefault="002D44C1" w:rsidP="009433ED">
      <w:pPr>
        <w:pStyle w:val="ListParagraph"/>
        <w:numPr>
          <w:ilvl w:val="1"/>
          <w:numId w:val="1"/>
        </w:numPr>
        <w:tabs>
          <w:tab w:val="left" w:pos="851"/>
        </w:tabs>
        <w:ind w:left="709"/>
        <w:jc w:val="both"/>
      </w:pPr>
      <w:r>
        <w:t>Specialios paskirties įmonė (SPĮ)</w:t>
      </w:r>
      <w:r w:rsidR="00C24EAC">
        <w:t xml:space="preserve"> –</w:t>
      </w:r>
      <w:r w:rsidR="001E66A1">
        <w:t xml:space="preserve"> </w:t>
      </w:r>
      <w:r w:rsidR="004672C4" w:rsidRPr="004672C4">
        <w:rPr>
          <w:i/>
          <w:color w:val="000000"/>
        </w:rPr>
        <w:t>įmonė</w:t>
      </w:r>
      <w:r w:rsidR="004672C4">
        <w:rPr>
          <w:color w:val="000000"/>
        </w:rPr>
        <w:t>, kuri perima draudimo ar perdraudimo įmonių riziką ir kuri siekia užsitikrinti prisiimtų įsipareigojimų įvykdymą pajamomis, gautomis išleidus skolos vertybinius popierius, arba naudodama bet kokią kitą finansavimo priemonę, kai finansavimą suteikusių kreditorių teisės įgyvendinamos tik įvykdžius įmonės įsipareigojimus, kylančius iš perdraudimo teisinių santykių.</w:t>
      </w:r>
    </w:p>
    <w:p w14:paraId="3A559B5D" w14:textId="31D74344" w:rsidR="00624C8B" w:rsidRDefault="00624C8B" w:rsidP="00B47ED1">
      <w:pPr>
        <w:pStyle w:val="ListParagraph"/>
        <w:numPr>
          <w:ilvl w:val="1"/>
          <w:numId w:val="1"/>
        </w:numPr>
        <w:tabs>
          <w:tab w:val="left" w:pos="851"/>
        </w:tabs>
        <w:jc w:val="both"/>
      </w:pPr>
      <w:r>
        <w:t>SRMV – savos rizikos ir mokumo vertinimas</w:t>
      </w:r>
      <w:r w:rsidR="00856ACE">
        <w:t>,</w:t>
      </w:r>
      <w:r>
        <w:t xml:space="preserve"> atliekamas </w:t>
      </w:r>
      <w:r w:rsidR="00B47ED1">
        <w:t>vadovaujantis Mokumas II direktyvos 41, 44, 45, 246 straipsniais ir 2014 m. spalio 10 d. Komisijos deleguotojo reglamento (ES) Nr. 2015/35, kuriuo papildoma Mokumas II Direktyva, 262 ir 306 straipsniais.</w:t>
      </w:r>
    </w:p>
    <w:p w14:paraId="196D6FFB" w14:textId="20054C6F" w:rsidR="00B230D0" w:rsidRDefault="00B230D0" w:rsidP="009433ED">
      <w:pPr>
        <w:pStyle w:val="ListParagraph"/>
        <w:numPr>
          <w:ilvl w:val="1"/>
          <w:numId w:val="1"/>
        </w:numPr>
        <w:tabs>
          <w:tab w:val="left" w:pos="851"/>
        </w:tabs>
        <w:ind w:left="709"/>
        <w:jc w:val="both"/>
      </w:pPr>
      <w:r w:rsidRPr="002D44C1">
        <w:t>Techniniai atidėjiniai</w:t>
      </w:r>
      <w:r>
        <w:t xml:space="preserve"> – </w:t>
      </w:r>
      <w:r w:rsidR="00856ACE">
        <w:rPr>
          <w:i/>
        </w:rPr>
        <w:t>į</w:t>
      </w:r>
      <w:r w:rsidRPr="00F90B84">
        <w:rPr>
          <w:i/>
        </w:rPr>
        <w:t>monės</w:t>
      </w:r>
      <w:r>
        <w:t xml:space="preserve"> techniniai atidėjiniai</w:t>
      </w:r>
      <w:r w:rsidR="00856ACE">
        <w:t>,</w:t>
      </w:r>
      <w:r>
        <w:t xml:space="preserve"> apskaičiuoti pagal </w:t>
      </w:r>
      <w:r w:rsidRPr="00F90B84">
        <w:rPr>
          <w:i/>
        </w:rPr>
        <w:t>Mokumas II Direktyvos</w:t>
      </w:r>
      <w:r>
        <w:t xml:space="preserve"> 75-86 straipsniuose nurodytus vertinimo principus.</w:t>
      </w:r>
    </w:p>
    <w:p w14:paraId="3BF66E25" w14:textId="77777777" w:rsidR="00537A01" w:rsidRPr="00E61D65" w:rsidRDefault="00537A01" w:rsidP="009433ED">
      <w:pPr>
        <w:jc w:val="both"/>
        <w:rPr>
          <w:b/>
        </w:rPr>
      </w:pPr>
      <w:r w:rsidRPr="00E61D65">
        <w:rPr>
          <w:b/>
        </w:rPr>
        <w:t>3.1 Bendri principai</w:t>
      </w:r>
    </w:p>
    <w:p w14:paraId="77EC44A6" w14:textId="77777777" w:rsidR="00537A01" w:rsidRPr="00E61D65" w:rsidRDefault="00537A01" w:rsidP="009433ED">
      <w:pPr>
        <w:jc w:val="both"/>
        <w:rPr>
          <w:b/>
        </w:rPr>
      </w:pPr>
      <w:proofErr w:type="spellStart"/>
      <w:r w:rsidRPr="00E61D65">
        <w:rPr>
          <w:b/>
        </w:rPr>
        <w:t>Aktuarinės</w:t>
      </w:r>
      <w:proofErr w:type="spellEnd"/>
      <w:r w:rsidRPr="00E61D65">
        <w:rPr>
          <w:b/>
        </w:rPr>
        <w:t xml:space="preserve"> funkcijos ataskaita ir jos pagrindinės dalys</w:t>
      </w:r>
    </w:p>
    <w:p w14:paraId="3E1291E3" w14:textId="31E17230" w:rsidR="00537A01" w:rsidRPr="000A4246" w:rsidRDefault="00537A01" w:rsidP="009433ED">
      <w:pPr>
        <w:jc w:val="both"/>
      </w:pPr>
      <w:r w:rsidRPr="00E61D65">
        <w:t xml:space="preserve">3.1.1 </w:t>
      </w:r>
      <w:r w:rsidRPr="00C55188">
        <w:rPr>
          <w:i/>
        </w:rPr>
        <w:t>AF</w:t>
      </w:r>
      <w:r w:rsidRPr="00E61D65">
        <w:t xml:space="preserve"> </w:t>
      </w:r>
      <w:r w:rsidR="003A06C3" w:rsidRPr="00E61D65">
        <w:t xml:space="preserve">bent kartą per metus </w:t>
      </w:r>
      <w:r w:rsidRPr="00E61D65">
        <w:t xml:space="preserve">turi </w:t>
      </w:r>
      <w:r w:rsidRPr="000A4246">
        <w:t>parengti rašytinę ataskaitą</w:t>
      </w:r>
      <w:r w:rsidR="00593EC5" w:rsidRPr="000A4246">
        <w:t xml:space="preserve"> (</w:t>
      </w:r>
      <w:r w:rsidR="00593EC5" w:rsidRPr="00C55188">
        <w:rPr>
          <w:i/>
        </w:rPr>
        <w:t>AFA</w:t>
      </w:r>
      <w:r w:rsidR="00593EC5" w:rsidRPr="000A4246">
        <w:t>)</w:t>
      </w:r>
      <w:r w:rsidRPr="000A4246">
        <w:t>, kuri turi būti pateikta administraciniam, valdymo ar priežiūros organui (</w:t>
      </w:r>
      <w:r w:rsidRPr="00C55188">
        <w:rPr>
          <w:i/>
        </w:rPr>
        <w:t>AVPO</w:t>
      </w:r>
      <w:r w:rsidRPr="000A4246">
        <w:t xml:space="preserve">). </w:t>
      </w:r>
      <w:proofErr w:type="spellStart"/>
      <w:r w:rsidRPr="000A4246">
        <w:t>Aktuaras</w:t>
      </w:r>
      <w:proofErr w:type="spellEnd"/>
      <w:r w:rsidRPr="000A4246">
        <w:t xml:space="preserve"> turi atsižvelgti</w:t>
      </w:r>
      <w:r w:rsidR="000D3282">
        <w:t xml:space="preserve"> į tai</w:t>
      </w:r>
      <w:r w:rsidRPr="000A4246">
        <w:t xml:space="preserve">, kad vartotojas </w:t>
      </w:r>
      <w:r w:rsidR="00593EC5" w:rsidRPr="000A4246">
        <w:t xml:space="preserve">gali būti ne tik </w:t>
      </w:r>
      <w:r w:rsidRPr="000A4246">
        <w:t>AVPO, bet ir kit</w:t>
      </w:r>
      <w:r w:rsidR="00C55188">
        <w:t>ą</w:t>
      </w:r>
      <w:r w:rsidRPr="000A4246">
        <w:t xml:space="preserve"> įmonės ar susijusios įmonės </w:t>
      </w:r>
      <w:r w:rsidR="000D3282" w:rsidRPr="000A4246">
        <w:t>funkcij</w:t>
      </w:r>
      <w:r w:rsidR="000D3282">
        <w:t>ą atliekantis asmuo</w:t>
      </w:r>
      <w:r w:rsidR="000D3282" w:rsidRPr="000A4246">
        <w:t xml:space="preserve"> </w:t>
      </w:r>
      <w:r w:rsidRPr="000A4246">
        <w:t xml:space="preserve">ar </w:t>
      </w:r>
      <w:r w:rsidR="000D3282" w:rsidRPr="000A4246">
        <w:t>atitinkam</w:t>
      </w:r>
      <w:r w:rsidR="000D3282">
        <w:t>a</w:t>
      </w:r>
      <w:r w:rsidR="000D3282" w:rsidRPr="000A4246">
        <w:t xml:space="preserve"> </w:t>
      </w:r>
      <w:r w:rsidRPr="000A4246">
        <w:t xml:space="preserve">priežiūros </w:t>
      </w:r>
      <w:r w:rsidR="000D3282" w:rsidRPr="000A4246">
        <w:t>institucij</w:t>
      </w:r>
      <w:r w:rsidR="000D3282">
        <w:t>a</w:t>
      </w:r>
      <w:r w:rsidRPr="000A4246">
        <w:t>.</w:t>
      </w:r>
    </w:p>
    <w:p w14:paraId="6973756C" w14:textId="058C5F59" w:rsidR="00537A01" w:rsidRPr="00E61D65" w:rsidRDefault="00537A01" w:rsidP="009433ED">
      <w:pPr>
        <w:jc w:val="both"/>
      </w:pPr>
      <w:r w:rsidRPr="008E46C0">
        <w:t xml:space="preserve">3.1.2 </w:t>
      </w:r>
      <w:r w:rsidRPr="00C55188">
        <w:rPr>
          <w:i/>
        </w:rPr>
        <w:t>AFA</w:t>
      </w:r>
      <w:r w:rsidRPr="008E46C0">
        <w:t xml:space="preserve"> forma, struktūra, stilius, išsamumas ir turinys turėtų būti </w:t>
      </w:r>
      <w:r w:rsidR="000A4246" w:rsidRPr="008E46C0">
        <w:t>tinkami</w:t>
      </w:r>
      <w:r w:rsidRPr="008E46C0">
        <w:t xml:space="preserve"> konkrečioms aplinkybėms</w:t>
      </w:r>
      <w:r w:rsidR="000A4246" w:rsidRPr="001C4260">
        <w:t xml:space="preserve"> </w:t>
      </w:r>
      <w:r w:rsidR="00593EC5" w:rsidRPr="001C4260">
        <w:t>ir priimtini vartotojui</w:t>
      </w:r>
      <w:r w:rsidRPr="000A4246">
        <w:t xml:space="preserve">. </w:t>
      </w:r>
      <w:r w:rsidRPr="00C55188">
        <w:rPr>
          <w:i/>
        </w:rPr>
        <w:t>AFA</w:t>
      </w:r>
      <w:r w:rsidRPr="000A4246">
        <w:t xml:space="preserve"> gali būti sudaryta iš kelių </w:t>
      </w:r>
      <w:r w:rsidR="000A4246" w:rsidRPr="000A4246">
        <w:t xml:space="preserve">atskirų </w:t>
      </w:r>
      <w:r w:rsidRPr="000A4246">
        <w:t xml:space="preserve">ataskaitų, </w:t>
      </w:r>
      <w:r w:rsidR="000A4246" w:rsidRPr="000A4246">
        <w:t>kurios apimtų atskiras temas, ir</w:t>
      </w:r>
      <w:r w:rsidRPr="000A4246">
        <w:t xml:space="preserve"> kuri</w:t>
      </w:r>
      <w:r w:rsidR="000A4246">
        <w:t>o</w:t>
      </w:r>
      <w:r w:rsidRPr="000A4246">
        <w:t>s gali būti pateikiam</w:t>
      </w:r>
      <w:r w:rsidR="003F2431">
        <w:t>o</w:t>
      </w:r>
      <w:r w:rsidRPr="000A4246">
        <w:t xml:space="preserve">s </w:t>
      </w:r>
      <w:r w:rsidRPr="00C55188">
        <w:rPr>
          <w:i/>
        </w:rPr>
        <w:t>AVPO</w:t>
      </w:r>
      <w:r w:rsidRPr="000A4246">
        <w:t xml:space="preserve"> atskirai ir skirting</w:t>
      </w:r>
      <w:r w:rsidR="00C55188">
        <w:t>u</w:t>
      </w:r>
      <w:r w:rsidRPr="000A4246">
        <w:t xml:space="preserve"> laik</w:t>
      </w:r>
      <w:r w:rsidR="00C55188">
        <w:t>u</w:t>
      </w:r>
      <w:r w:rsidRPr="000A4246">
        <w:t>.</w:t>
      </w:r>
    </w:p>
    <w:p w14:paraId="0D6CA6C6" w14:textId="67C39FAA" w:rsidR="00537A01" w:rsidRPr="00E61D65" w:rsidRDefault="00537A01" w:rsidP="009433ED">
      <w:pPr>
        <w:jc w:val="both"/>
      </w:pPr>
      <w:r w:rsidRPr="00E61D65">
        <w:t>3.1.3 AFA turėtų</w:t>
      </w:r>
      <w:r w:rsidR="000D3282">
        <w:t xml:space="preserve"> būti</w:t>
      </w:r>
      <w:r w:rsidRPr="00E61D65">
        <w:t>:</w:t>
      </w:r>
    </w:p>
    <w:p w14:paraId="1C46BB0B" w14:textId="75329280" w:rsidR="00537A01" w:rsidRPr="00E61D65" w:rsidRDefault="00537A01" w:rsidP="009433ED">
      <w:pPr>
        <w:jc w:val="both"/>
      </w:pPr>
      <w:r w:rsidRPr="00E61D65">
        <w:t>(a</w:t>
      </w:r>
      <w:r w:rsidRPr="000A4246">
        <w:t xml:space="preserve">) </w:t>
      </w:r>
      <w:r w:rsidR="000A4246" w:rsidRPr="000A4246">
        <w:t>nurodyt</w:t>
      </w:r>
      <w:r w:rsidR="000D3282">
        <w:t>a</w:t>
      </w:r>
      <w:r w:rsidRPr="00E61D65">
        <w:t xml:space="preserve">, kuris </w:t>
      </w:r>
      <w:proofErr w:type="spellStart"/>
      <w:r w:rsidRPr="00E61D65">
        <w:t>aktuarinis</w:t>
      </w:r>
      <w:proofErr w:type="spellEnd"/>
      <w:r w:rsidRPr="00E61D65">
        <w:t xml:space="preserve"> standartas buvo taikomas atliktam darbui ir ar atliktas darbas atitinka šiuos </w:t>
      </w:r>
      <w:proofErr w:type="spellStart"/>
      <w:r w:rsidRPr="00E61D65">
        <w:t>aktuarinius</w:t>
      </w:r>
      <w:proofErr w:type="spellEnd"/>
      <w:r w:rsidRPr="00E61D65">
        <w:t xml:space="preserve"> standartus;</w:t>
      </w:r>
    </w:p>
    <w:p w14:paraId="608268EA" w14:textId="302B290B" w:rsidR="00537A01" w:rsidRPr="00E61D65" w:rsidRDefault="00537A01" w:rsidP="009433ED">
      <w:pPr>
        <w:jc w:val="both"/>
      </w:pPr>
      <w:r w:rsidRPr="00E61D65">
        <w:t xml:space="preserve">(b) </w:t>
      </w:r>
      <w:r w:rsidR="000A4246" w:rsidRPr="000A4246">
        <w:t>nurodyt</w:t>
      </w:r>
      <w:r w:rsidR="000D3282">
        <w:t>a</w:t>
      </w:r>
      <w:r w:rsidRPr="00E61D65">
        <w:t xml:space="preserve">, kokie </w:t>
      </w:r>
      <w:proofErr w:type="spellStart"/>
      <w:r w:rsidRPr="00E61D65">
        <w:t>aktuariniai</w:t>
      </w:r>
      <w:proofErr w:type="spellEnd"/>
      <w:r w:rsidRPr="00E61D65">
        <w:t xml:space="preserve"> standartai yra taikomi </w:t>
      </w:r>
      <w:r w:rsidRPr="00C55188">
        <w:rPr>
          <w:i/>
        </w:rPr>
        <w:t>AFA</w:t>
      </w:r>
      <w:r w:rsidRPr="00E61D65">
        <w:t xml:space="preserve"> ir ar </w:t>
      </w:r>
      <w:r w:rsidRPr="00C55188">
        <w:rPr>
          <w:i/>
        </w:rPr>
        <w:t>AFA</w:t>
      </w:r>
      <w:r w:rsidRPr="00E61D65">
        <w:t xml:space="preserve"> atitinka šiuos </w:t>
      </w:r>
      <w:proofErr w:type="spellStart"/>
      <w:r w:rsidRPr="00E61D65">
        <w:t>aktuarinius</w:t>
      </w:r>
      <w:proofErr w:type="spellEnd"/>
      <w:r w:rsidRPr="00E61D65">
        <w:t xml:space="preserve"> standartus;</w:t>
      </w:r>
    </w:p>
    <w:p w14:paraId="05FFC3A2" w14:textId="62ED5085" w:rsidR="00537A01" w:rsidRDefault="00537A01" w:rsidP="009433ED">
      <w:pPr>
        <w:jc w:val="both"/>
      </w:pPr>
      <w:r w:rsidRPr="00E61D65">
        <w:t>(c) pateikt</w:t>
      </w:r>
      <w:r w:rsidR="000D3282">
        <w:t>a</w:t>
      </w:r>
      <w:r w:rsidRPr="00E61D65">
        <w:t xml:space="preserve"> detali </w:t>
      </w:r>
      <w:r w:rsidR="000D3282" w:rsidRPr="00E61D65">
        <w:t>informacij</w:t>
      </w:r>
      <w:r w:rsidR="000D3282">
        <w:t>a</w:t>
      </w:r>
      <w:r w:rsidR="000D3282" w:rsidRPr="00E61D65">
        <w:t xml:space="preserve"> </w:t>
      </w:r>
      <w:r w:rsidRPr="00E61D65">
        <w:t xml:space="preserve">apie visus reikšmingus nukrypimus nuo </w:t>
      </w:r>
      <w:proofErr w:type="spellStart"/>
      <w:r w:rsidRPr="00E61D65">
        <w:t>aktuarinių</w:t>
      </w:r>
      <w:proofErr w:type="spellEnd"/>
      <w:r w:rsidRPr="00E61D65">
        <w:t xml:space="preserve"> standartų, paminėtų (a) ir (b) punktuose.</w:t>
      </w:r>
    </w:p>
    <w:p w14:paraId="4ED9AFE6" w14:textId="77777777" w:rsidR="00537A01" w:rsidRPr="00E61D65" w:rsidRDefault="00537A01" w:rsidP="009433ED">
      <w:pPr>
        <w:jc w:val="both"/>
      </w:pPr>
    </w:p>
    <w:p w14:paraId="4000E389" w14:textId="77777777" w:rsidR="00537A01" w:rsidRPr="00E61D65" w:rsidRDefault="00537A01" w:rsidP="009433ED">
      <w:pPr>
        <w:jc w:val="both"/>
        <w:rPr>
          <w:b/>
        </w:rPr>
      </w:pPr>
      <w:proofErr w:type="spellStart"/>
      <w:r w:rsidRPr="00E61D65">
        <w:rPr>
          <w:b/>
        </w:rPr>
        <w:t>Aktuarinė</w:t>
      </w:r>
      <w:proofErr w:type="spellEnd"/>
      <w:r w:rsidRPr="00E61D65">
        <w:rPr>
          <w:b/>
        </w:rPr>
        <w:t xml:space="preserve"> funkcija</w:t>
      </w:r>
    </w:p>
    <w:p w14:paraId="7D25D5C2" w14:textId="4536E8F0" w:rsidR="00537A01" w:rsidRPr="00E61D65" w:rsidRDefault="00537A01" w:rsidP="009433ED">
      <w:pPr>
        <w:jc w:val="both"/>
      </w:pPr>
      <w:r w:rsidRPr="00E61D65">
        <w:t xml:space="preserve">3.1.4 </w:t>
      </w:r>
      <w:r w:rsidRPr="00C55188">
        <w:rPr>
          <w:i/>
        </w:rPr>
        <w:t>AF</w:t>
      </w:r>
      <w:r w:rsidRPr="003A06C3">
        <w:t xml:space="preserve"> privalo </w:t>
      </w:r>
      <w:r w:rsidR="003A06C3">
        <w:t>pateikti atliktų darbų sąrašą ir šių darbų rezultatų santrauką</w:t>
      </w:r>
      <w:r w:rsidRPr="00E61D65">
        <w:t>.</w:t>
      </w:r>
    </w:p>
    <w:p w14:paraId="2F866F42" w14:textId="18EF8AC4" w:rsidR="00537A01" w:rsidRPr="00E61D65" w:rsidRDefault="00537A01" w:rsidP="009433ED">
      <w:pPr>
        <w:jc w:val="both"/>
      </w:pPr>
      <w:r w:rsidRPr="00E61D65">
        <w:t xml:space="preserve">3.1.5 </w:t>
      </w:r>
      <w:r w:rsidRPr="00C55188">
        <w:rPr>
          <w:i/>
        </w:rPr>
        <w:t>AF</w:t>
      </w:r>
      <w:r w:rsidRPr="00E61D65">
        <w:t xml:space="preserve"> turėtų informuoti apie nustatytus svarbius </w:t>
      </w:r>
      <w:r w:rsidRPr="00C55188">
        <w:rPr>
          <w:i/>
        </w:rPr>
        <w:t>interesų konfliktus</w:t>
      </w:r>
      <w:r w:rsidRPr="00E61D65">
        <w:t xml:space="preserve"> ir apibūdinti</w:t>
      </w:r>
      <w:r w:rsidR="003F2431">
        <w:t>,</w:t>
      </w:r>
      <w:r w:rsidRPr="00E61D65">
        <w:t xml:space="preserve"> kaip jie buvo suvaldyti, įskaitant bet kokius galimus </w:t>
      </w:r>
      <w:r w:rsidRPr="00C55188">
        <w:rPr>
          <w:i/>
        </w:rPr>
        <w:t>interesų konfliktus</w:t>
      </w:r>
      <w:r w:rsidRPr="00E61D65">
        <w:t xml:space="preserve"> tarp individualių įmonių ir grupės, kuriai draudimo įmonė priklauso.</w:t>
      </w:r>
    </w:p>
    <w:p w14:paraId="53671383" w14:textId="58CF5202" w:rsidR="00537A01" w:rsidRPr="00E61D65" w:rsidRDefault="00537A01" w:rsidP="009433ED">
      <w:pPr>
        <w:jc w:val="both"/>
      </w:pPr>
      <w:r w:rsidRPr="00E61D65">
        <w:t xml:space="preserve">3.1.6 </w:t>
      </w:r>
      <w:r w:rsidR="00856B7A" w:rsidRPr="00C55188">
        <w:rPr>
          <w:i/>
        </w:rPr>
        <w:t>AF</w:t>
      </w:r>
      <w:r w:rsidR="00E0644D">
        <w:t xml:space="preserve">, atsižvelgdama į </w:t>
      </w:r>
      <w:proofErr w:type="spellStart"/>
      <w:r w:rsidR="00E0644D">
        <w:t>Aktuarinės</w:t>
      </w:r>
      <w:proofErr w:type="spellEnd"/>
      <w:r w:rsidR="00E0644D">
        <w:t xml:space="preserve"> veiklos standarto Nr.1</w:t>
      </w:r>
      <w:r w:rsidR="00856B7A" w:rsidRPr="00E61D65">
        <w:t xml:space="preserve"> </w:t>
      </w:r>
      <w:r w:rsidR="00E0644D">
        <w:t xml:space="preserve">10.6.3. punktą ir </w:t>
      </w:r>
      <w:r w:rsidR="00E0644D" w:rsidRPr="00E0644D">
        <w:rPr>
          <w:i/>
        </w:rPr>
        <w:t>priklausomybę nuo kitų</w:t>
      </w:r>
      <w:r w:rsidR="00E0644D">
        <w:t xml:space="preserve">, </w:t>
      </w:r>
      <w:r w:rsidRPr="00E61D65">
        <w:t xml:space="preserve">turėtų atskleisti bet kokį </w:t>
      </w:r>
      <w:r w:rsidRPr="00E0644D">
        <w:t xml:space="preserve">reikšmingą rėmimąsi kitų darbais ir kaip </w:t>
      </w:r>
      <w:r w:rsidRPr="00C55188">
        <w:rPr>
          <w:i/>
        </w:rPr>
        <w:t>AF</w:t>
      </w:r>
      <w:r w:rsidR="00E0644D">
        <w:t xml:space="preserve"> įsitikino, kad kitų darbai patikimi</w:t>
      </w:r>
      <w:r w:rsidRPr="00E0644D">
        <w:t>.</w:t>
      </w:r>
    </w:p>
    <w:p w14:paraId="34646EF1" w14:textId="0C21F95B" w:rsidR="00537A01" w:rsidRPr="00E61D65" w:rsidRDefault="00537A01" w:rsidP="009433ED">
      <w:pPr>
        <w:jc w:val="both"/>
      </w:pPr>
      <w:r w:rsidRPr="00E61D65">
        <w:lastRenderedPageBreak/>
        <w:t xml:space="preserve">3.1.7 </w:t>
      </w:r>
      <w:r w:rsidRPr="00C55188">
        <w:rPr>
          <w:i/>
        </w:rPr>
        <w:t>AFA</w:t>
      </w:r>
      <w:r w:rsidRPr="00E61D65">
        <w:t xml:space="preserve"> privalo </w:t>
      </w:r>
      <w:r w:rsidR="00E0644D">
        <w:t xml:space="preserve">būti </w:t>
      </w:r>
      <w:r w:rsidRPr="00E61D65">
        <w:t>identifikuoti asmen</w:t>
      </w:r>
      <w:r w:rsidR="00E0644D">
        <w:t>ys</w:t>
      </w:r>
      <w:r w:rsidRPr="00E61D65">
        <w:t xml:space="preserve">, kurie yra atsakingi už </w:t>
      </w:r>
      <w:r w:rsidRPr="00C55188">
        <w:rPr>
          <w:i/>
        </w:rPr>
        <w:t>AFA</w:t>
      </w:r>
      <w:r w:rsidRPr="00E61D65">
        <w:t xml:space="preserve"> rašymą, ir</w:t>
      </w:r>
      <w:r w:rsidRPr="00E0644D">
        <w:t xml:space="preserve">, jeigu taikoma, </w:t>
      </w:r>
      <w:r w:rsidR="00E0644D" w:rsidRPr="00E0644D">
        <w:t>kas</w:t>
      </w:r>
      <w:r w:rsidRPr="00E0644D">
        <w:t xml:space="preserve"> prisiima galutinę atsakomybę už </w:t>
      </w:r>
      <w:r w:rsidRPr="00C55188">
        <w:rPr>
          <w:i/>
        </w:rPr>
        <w:t>AFA</w:t>
      </w:r>
      <w:r w:rsidRPr="00E0644D">
        <w:t xml:space="preserve"> parengimą.</w:t>
      </w:r>
    </w:p>
    <w:p w14:paraId="0C00F20A" w14:textId="617B685A" w:rsidR="00537A01" w:rsidRPr="00E61D65" w:rsidRDefault="00537A01" w:rsidP="009433ED">
      <w:pPr>
        <w:jc w:val="both"/>
      </w:pPr>
      <w:r w:rsidRPr="00E61D65">
        <w:t xml:space="preserve">3.1.8 </w:t>
      </w:r>
      <w:r w:rsidRPr="00C55188">
        <w:rPr>
          <w:i/>
        </w:rPr>
        <w:t>AFA</w:t>
      </w:r>
      <w:r w:rsidRPr="00E61D65">
        <w:t xml:space="preserve"> gali</w:t>
      </w:r>
      <w:r w:rsidR="00E0644D">
        <w:t xml:space="preserve"> būti</w:t>
      </w:r>
      <w:r w:rsidRPr="00E61D65">
        <w:t xml:space="preserve"> pateikt</w:t>
      </w:r>
      <w:r w:rsidR="00E0644D">
        <w:t>a</w:t>
      </w:r>
      <w:r w:rsidRPr="00E61D65">
        <w:t xml:space="preserve"> </w:t>
      </w:r>
      <w:r w:rsidR="00E0644D" w:rsidRPr="00E61D65">
        <w:t>informacij</w:t>
      </w:r>
      <w:r w:rsidR="00E0644D">
        <w:t>a</w:t>
      </w:r>
      <w:r w:rsidRPr="00E61D65">
        <w:t xml:space="preserve">, </w:t>
      </w:r>
      <w:r w:rsidR="00E0644D" w:rsidRPr="00E61D65">
        <w:t>parodan</w:t>
      </w:r>
      <w:r w:rsidR="00E0644D">
        <w:t>ti</w:t>
      </w:r>
      <w:r w:rsidR="00E80FD9">
        <w:t xml:space="preserve"> kiek</w:t>
      </w:r>
      <w:r w:rsidRPr="00E61D65">
        <w:t xml:space="preserve"> kiekvienas</w:t>
      </w:r>
      <w:r w:rsidR="00E80FD9">
        <w:t xml:space="preserve"> </w:t>
      </w:r>
      <w:r w:rsidR="00C55188">
        <w:t>asmuo</w:t>
      </w:r>
      <w:r w:rsidRPr="00E61D65">
        <w:t xml:space="preserve"> </w:t>
      </w:r>
      <w:r w:rsidR="00E80FD9" w:rsidRPr="00E61D65">
        <w:t>prisid</w:t>
      </w:r>
      <w:r w:rsidR="00E80FD9">
        <w:t>ėjo</w:t>
      </w:r>
      <w:r w:rsidR="00E80FD9" w:rsidRPr="00E61D65">
        <w:t xml:space="preserve"> </w:t>
      </w:r>
      <w:r w:rsidRPr="00E61D65">
        <w:t xml:space="preserve">prie </w:t>
      </w:r>
      <w:r w:rsidRPr="00C55188">
        <w:rPr>
          <w:i/>
        </w:rPr>
        <w:t>AFA</w:t>
      </w:r>
      <w:r w:rsidRPr="00E61D65">
        <w:t xml:space="preserve"> ir</w:t>
      </w:r>
      <w:r w:rsidRPr="00E80FD9">
        <w:t>, jeigu taikoma</w:t>
      </w:r>
      <w:r w:rsidRPr="00E61D65">
        <w:t xml:space="preserve">, </w:t>
      </w:r>
      <w:r w:rsidR="00E80FD9">
        <w:t xml:space="preserve">ar </w:t>
      </w:r>
      <w:r w:rsidRPr="00E61D65">
        <w:t xml:space="preserve">asmuo, prisiimantis galutinę atsakomybę už </w:t>
      </w:r>
      <w:r w:rsidRPr="00C55188">
        <w:rPr>
          <w:i/>
        </w:rPr>
        <w:t>AFA</w:t>
      </w:r>
      <w:r w:rsidRPr="00E61D65">
        <w:t xml:space="preserve"> parengimą, turi </w:t>
      </w:r>
      <w:r w:rsidR="00E80FD9">
        <w:t>tinkamų</w:t>
      </w:r>
      <w:r w:rsidR="00E80FD9" w:rsidRPr="00E61D65">
        <w:t xml:space="preserve"> </w:t>
      </w:r>
      <w:r w:rsidRPr="00E61D65">
        <w:t xml:space="preserve">žinių ir patirties, kad galėtų </w:t>
      </w:r>
      <w:r w:rsidR="00E80FD9">
        <w:t xml:space="preserve">įgyvendinti šią </w:t>
      </w:r>
      <w:r w:rsidR="00B82100">
        <w:t>rolę</w:t>
      </w:r>
      <w:r w:rsidR="00C55188">
        <w:t>.</w:t>
      </w:r>
    </w:p>
    <w:p w14:paraId="1B521EFC" w14:textId="77777777" w:rsidR="00537A01" w:rsidRPr="00E61D65" w:rsidRDefault="00537A01" w:rsidP="009433ED">
      <w:pPr>
        <w:jc w:val="both"/>
        <w:rPr>
          <w:b/>
        </w:rPr>
      </w:pPr>
      <w:proofErr w:type="spellStart"/>
      <w:r w:rsidRPr="00E61D65">
        <w:rPr>
          <w:b/>
        </w:rPr>
        <w:t>Aktuarinės</w:t>
      </w:r>
      <w:proofErr w:type="spellEnd"/>
      <w:r w:rsidRPr="00E61D65">
        <w:rPr>
          <w:b/>
        </w:rPr>
        <w:t xml:space="preserve"> funkcijos ataskaitos turinys</w:t>
      </w:r>
    </w:p>
    <w:p w14:paraId="387B699D" w14:textId="2B2D78D6" w:rsidR="00537A01" w:rsidRPr="00E61D65" w:rsidRDefault="00537A01" w:rsidP="009433ED">
      <w:pPr>
        <w:jc w:val="both"/>
      </w:pPr>
      <w:r w:rsidRPr="00E61D65">
        <w:t xml:space="preserve">3.1.9 </w:t>
      </w:r>
      <w:r w:rsidRPr="00C55188">
        <w:rPr>
          <w:i/>
        </w:rPr>
        <w:t>AFA</w:t>
      </w:r>
      <w:r w:rsidRPr="00E61D65">
        <w:t xml:space="preserve"> privalo</w:t>
      </w:r>
      <w:r w:rsidR="00B82100">
        <w:t xml:space="preserve"> būti </w:t>
      </w:r>
      <w:r w:rsidRPr="00E61D65">
        <w:t xml:space="preserve">aiškiai nurodyti </w:t>
      </w:r>
      <w:r w:rsidR="00B82100" w:rsidRPr="00E61D65">
        <w:t>vis</w:t>
      </w:r>
      <w:r w:rsidR="00B82100">
        <w:t>i</w:t>
      </w:r>
      <w:r w:rsidR="00B82100" w:rsidRPr="00E61D65">
        <w:t xml:space="preserve"> trūkum</w:t>
      </w:r>
      <w:r w:rsidR="00B82100">
        <w:t>ai</w:t>
      </w:r>
      <w:r w:rsidR="00B82100" w:rsidRPr="00E61D65">
        <w:t xml:space="preserve"> </w:t>
      </w:r>
      <w:r w:rsidRPr="00E61D65">
        <w:t xml:space="preserve">ir </w:t>
      </w:r>
      <w:r w:rsidR="00B82100" w:rsidRPr="00E61D65">
        <w:t>pateikt</w:t>
      </w:r>
      <w:r w:rsidR="00B82100">
        <w:t>os</w:t>
      </w:r>
      <w:r w:rsidR="00B82100" w:rsidRPr="00E61D65">
        <w:t xml:space="preserve"> rekomendacij</w:t>
      </w:r>
      <w:r w:rsidR="00B82100">
        <w:t>o</w:t>
      </w:r>
      <w:r w:rsidR="00B82100" w:rsidRPr="00E61D65">
        <w:t xml:space="preserve">s </w:t>
      </w:r>
      <w:r w:rsidRPr="00E61D65">
        <w:t>kaip šiuos trūkumus išta</w:t>
      </w:r>
      <w:r w:rsidR="00B82100">
        <w:t>i</w:t>
      </w:r>
      <w:r w:rsidRPr="00E61D65">
        <w:t>syti</w:t>
      </w:r>
      <w:r w:rsidR="00C55188">
        <w:t xml:space="preserve"> </w:t>
      </w:r>
      <w:r w:rsidR="00C55188" w:rsidRPr="00E61D65">
        <w:t>atsižvelgiant į reikšmingumą ir proporcingumą</w:t>
      </w:r>
      <w:r w:rsidRPr="00E61D65">
        <w:t>.</w:t>
      </w:r>
    </w:p>
    <w:p w14:paraId="718F6B1F" w14:textId="087D3BBE" w:rsidR="00537A01" w:rsidRPr="00E61D65" w:rsidRDefault="00537A01" w:rsidP="009433ED">
      <w:pPr>
        <w:jc w:val="both"/>
      </w:pPr>
      <w:r w:rsidRPr="00E61D65">
        <w:t xml:space="preserve">3.1.10 </w:t>
      </w:r>
      <w:r w:rsidRPr="00C55188">
        <w:rPr>
          <w:i/>
        </w:rPr>
        <w:t xml:space="preserve">AFA </w:t>
      </w:r>
      <w:r w:rsidRPr="00E61D65">
        <w:t>turėtų</w:t>
      </w:r>
      <w:r w:rsidR="00B82100">
        <w:t xml:space="preserve"> būti</w:t>
      </w:r>
      <w:r w:rsidRPr="00E61D65">
        <w:t xml:space="preserve"> įtraukt</w:t>
      </w:r>
      <w:r w:rsidR="00B82100">
        <w:t>a</w:t>
      </w:r>
      <w:r w:rsidRPr="00E61D65">
        <w:t xml:space="preserve"> pakankamai informacijos ir aptart</w:t>
      </w:r>
      <w:r w:rsidR="00B82100">
        <w:t>a</w:t>
      </w:r>
      <w:r w:rsidRPr="00E61D65">
        <w:t xml:space="preserve"> kiekvien</w:t>
      </w:r>
      <w:r w:rsidR="00B7683B">
        <w:t>a</w:t>
      </w:r>
      <w:r w:rsidRPr="00E61D65">
        <w:t xml:space="preserve"> srit</w:t>
      </w:r>
      <w:r w:rsidR="00B82100">
        <w:t>is</w:t>
      </w:r>
      <w:r w:rsidR="00B7683B">
        <w:t xml:space="preserve"> taip</w:t>
      </w:r>
      <w:r w:rsidRPr="00E61D65">
        <w:t xml:space="preserve">, kad </w:t>
      </w:r>
      <w:r w:rsidRPr="00C55188">
        <w:rPr>
          <w:i/>
        </w:rPr>
        <w:t>AVPO</w:t>
      </w:r>
      <w:r w:rsidRPr="00E61D65">
        <w:t xml:space="preserve"> galėtų įvertinti jos reikšmę.</w:t>
      </w:r>
    </w:p>
    <w:p w14:paraId="260D8238" w14:textId="674032DF" w:rsidR="00537A01" w:rsidRPr="00E61D65" w:rsidRDefault="00537A01" w:rsidP="009433ED">
      <w:pPr>
        <w:jc w:val="both"/>
      </w:pPr>
      <w:r w:rsidRPr="00E61D65">
        <w:t>3.1.11</w:t>
      </w:r>
      <w:r>
        <w:t xml:space="preserve"> </w:t>
      </w:r>
      <w:r w:rsidRPr="00C55188">
        <w:rPr>
          <w:i/>
        </w:rPr>
        <w:t>AFA</w:t>
      </w:r>
      <w:r>
        <w:t xml:space="preserve"> turėtų</w:t>
      </w:r>
      <w:r w:rsidR="00B82100">
        <w:t xml:space="preserve"> būti</w:t>
      </w:r>
      <w:r>
        <w:t xml:space="preserve"> apibendrinti </w:t>
      </w:r>
      <w:r w:rsidR="00B82100">
        <w:t xml:space="preserve">pagrindiniai </w:t>
      </w:r>
      <w:r w:rsidRPr="00C55188">
        <w:rPr>
          <w:i/>
        </w:rPr>
        <w:t>duomen</w:t>
      </w:r>
      <w:r w:rsidR="00B82100" w:rsidRPr="00C55188">
        <w:rPr>
          <w:i/>
        </w:rPr>
        <w:t>y</w:t>
      </w:r>
      <w:r w:rsidRPr="00C55188">
        <w:rPr>
          <w:i/>
        </w:rPr>
        <w:t>s</w:t>
      </w:r>
      <w:r>
        <w:t xml:space="preserve">, </w:t>
      </w:r>
      <w:r w:rsidR="00F2274A">
        <w:t>kurie darė įtaką priimant sprendimus</w:t>
      </w:r>
      <w:r>
        <w:t xml:space="preserve">, ir </w:t>
      </w:r>
      <w:r w:rsidR="004A3CC8">
        <w:t xml:space="preserve">atkreiptas </w:t>
      </w:r>
      <w:r>
        <w:t>dėmes</w:t>
      </w:r>
      <w:r w:rsidR="00E077A9">
        <w:t>ys</w:t>
      </w:r>
      <w:r>
        <w:t xml:space="preserve"> į bet kokias reikšmingas neapibrėžtumo ir j</w:t>
      </w:r>
      <w:r w:rsidR="00B7683B">
        <w:t>o</w:t>
      </w:r>
      <w:r>
        <w:t xml:space="preserve"> šaltinių sritis bei į bet kokį reikšmingą </w:t>
      </w:r>
      <w:r w:rsidRPr="003B460E">
        <w:rPr>
          <w:i/>
        </w:rPr>
        <w:t>AF</w:t>
      </w:r>
      <w:r>
        <w:t xml:space="preserve"> </w:t>
      </w:r>
      <w:r w:rsidR="00E077A9">
        <w:t>padarytą</w:t>
      </w:r>
      <w:r>
        <w:t xml:space="preserve"> </w:t>
      </w:r>
      <w:r w:rsidR="00772D26">
        <w:rPr>
          <w:i/>
        </w:rPr>
        <w:t>profes</w:t>
      </w:r>
      <w:r w:rsidR="00624C8B">
        <w:rPr>
          <w:i/>
        </w:rPr>
        <w:t>ionalų</w:t>
      </w:r>
      <w:r w:rsidR="003B460E" w:rsidRPr="003B460E">
        <w:rPr>
          <w:i/>
        </w:rPr>
        <w:t xml:space="preserve"> </w:t>
      </w:r>
      <w:r w:rsidR="00624C8B">
        <w:rPr>
          <w:i/>
        </w:rPr>
        <w:t>vertinimą</w:t>
      </w:r>
      <w:r>
        <w:t>.</w:t>
      </w:r>
    </w:p>
    <w:p w14:paraId="6F495EDB" w14:textId="77777777" w:rsidR="00537A01" w:rsidRPr="00E61D65" w:rsidRDefault="00537A01" w:rsidP="009433ED">
      <w:pPr>
        <w:jc w:val="both"/>
        <w:rPr>
          <w:b/>
        </w:rPr>
      </w:pPr>
      <w:proofErr w:type="spellStart"/>
      <w:r w:rsidRPr="00E61D65">
        <w:rPr>
          <w:b/>
        </w:rPr>
        <w:t>Aktuarinės</w:t>
      </w:r>
      <w:proofErr w:type="spellEnd"/>
      <w:r w:rsidRPr="00E61D65">
        <w:rPr>
          <w:b/>
        </w:rPr>
        <w:t xml:space="preserve"> funkcijos ataskaitos grįžtamasis ryšys</w:t>
      </w:r>
    </w:p>
    <w:p w14:paraId="6CC8E075" w14:textId="21DA9F87" w:rsidR="00537A01" w:rsidRDefault="00537A01" w:rsidP="009433ED">
      <w:pPr>
        <w:jc w:val="both"/>
      </w:pPr>
      <w:r w:rsidRPr="00E61D65">
        <w:t>3.1.12</w:t>
      </w:r>
      <w:r>
        <w:t xml:space="preserve"> </w:t>
      </w:r>
      <w:r w:rsidRPr="003B460E">
        <w:rPr>
          <w:i/>
        </w:rPr>
        <w:t>AF</w:t>
      </w:r>
      <w:r w:rsidR="00A22E2E">
        <w:t xml:space="preserve">, prieš pabaigdamas </w:t>
      </w:r>
      <w:r w:rsidR="00A22E2E" w:rsidRPr="003B460E">
        <w:rPr>
          <w:i/>
        </w:rPr>
        <w:t>AFA</w:t>
      </w:r>
      <w:r w:rsidR="00A22E2E">
        <w:t>,</w:t>
      </w:r>
      <w:r>
        <w:t xml:space="preserve"> turėtų aptarti savo išvadas ir rekomendacijas su vadovybe</w:t>
      </w:r>
      <w:r w:rsidR="00070E4D">
        <w:t>.</w:t>
      </w:r>
      <w:r w:rsidR="00A22E2E">
        <w:t xml:space="preserve"> </w:t>
      </w:r>
      <w:r w:rsidRPr="003B460E">
        <w:rPr>
          <w:i/>
        </w:rPr>
        <w:t>AF</w:t>
      </w:r>
      <w:r w:rsidR="00A22E2E">
        <w:t xml:space="preserve">, pateikęs </w:t>
      </w:r>
      <w:r w:rsidR="00A22E2E" w:rsidRPr="003B460E">
        <w:rPr>
          <w:i/>
        </w:rPr>
        <w:t>AFA</w:t>
      </w:r>
      <w:r w:rsidR="00A22E2E">
        <w:t>,</w:t>
      </w:r>
      <w:r>
        <w:t xml:space="preserve"> turėtų siekti grįžtamojo ryšio iš </w:t>
      </w:r>
      <w:r w:rsidRPr="003B460E">
        <w:rPr>
          <w:i/>
        </w:rPr>
        <w:t>AVPO</w:t>
      </w:r>
      <w:r>
        <w:t xml:space="preserve"> dėl ataskaitos turinio ir </w:t>
      </w:r>
      <w:r w:rsidRPr="00A22E2E">
        <w:t>atsižvelgti</w:t>
      </w:r>
      <w:r>
        <w:t xml:space="preserve"> į pastabas rengiant ataskaitas ateityje.</w:t>
      </w:r>
    </w:p>
    <w:p w14:paraId="7157CDBB" w14:textId="65A2822A" w:rsidR="00537A01" w:rsidRDefault="00537A01" w:rsidP="009433ED">
      <w:pPr>
        <w:jc w:val="both"/>
        <w:rPr>
          <w:lang w:val="en-US"/>
        </w:rPr>
      </w:pPr>
      <w:r w:rsidRPr="00E61D65">
        <w:t>3.1.13</w:t>
      </w:r>
      <w:r>
        <w:t xml:space="preserve"> </w:t>
      </w:r>
      <w:r w:rsidR="00C60DBF">
        <w:t>A</w:t>
      </w:r>
      <w:r>
        <w:t xml:space="preserve">r pateiktos rekomendacijos dėl </w:t>
      </w:r>
      <w:r w:rsidRPr="003B460E">
        <w:rPr>
          <w:i/>
        </w:rPr>
        <w:t>AFA</w:t>
      </w:r>
      <w:r>
        <w:t xml:space="preserve"> buvo įgyvendintos, ir jei taip,</w:t>
      </w:r>
      <w:r w:rsidR="00A22E2E">
        <w:t xml:space="preserve"> tai</w:t>
      </w:r>
      <w:r>
        <w:t xml:space="preserve"> </w:t>
      </w:r>
      <w:r w:rsidR="00A22E2E">
        <w:t>apie jų įgyvendinimą t</w:t>
      </w:r>
      <w:r w:rsidR="00C60DBF">
        <w:t>u</w:t>
      </w:r>
      <w:r w:rsidR="00A22E2E">
        <w:t xml:space="preserve">rėtų būti atskleista </w:t>
      </w:r>
      <w:r>
        <w:t xml:space="preserve">kitoje </w:t>
      </w:r>
      <w:r w:rsidRPr="003B460E">
        <w:rPr>
          <w:i/>
        </w:rPr>
        <w:t>AFA</w:t>
      </w:r>
      <w:r>
        <w:t>.</w:t>
      </w:r>
    </w:p>
    <w:p w14:paraId="1B8A64BE" w14:textId="77777777" w:rsidR="00790DE6" w:rsidRDefault="00790DE6" w:rsidP="009433ED">
      <w:pPr>
        <w:jc w:val="both"/>
        <w:rPr>
          <w:b/>
        </w:rPr>
      </w:pPr>
    </w:p>
    <w:p w14:paraId="27479FB5" w14:textId="77777777" w:rsidR="00AA3088" w:rsidRPr="00263666" w:rsidRDefault="00AA3088" w:rsidP="009433ED">
      <w:pPr>
        <w:jc w:val="both"/>
        <w:rPr>
          <w:b/>
        </w:rPr>
      </w:pPr>
      <w:r w:rsidRPr="00263666">
        <w:rPr>
          <w:b/>
        </w:rPr>
        <w:t>3.2. Techniniai atidėjiniai</w:t>
      </w:r>
    </w:p>
    <w:p w14:paraId="01C6BA50" w14:textId="26686EAF" w:rsidR="00AA3088" w:rsidRPr="00263666" w:rsidRDefault="00AA3088" w:rsidP="009433ED">
      <w:pPr>
        <w:jc w:val="both"/>
        <w:rPr>
          <w:b/>
        </w:rPr>
      </w:pPr>
      <w:r w:rsidRPr="00263666">
        <w:rPr>
          <w:b/>
        </w:rPr>
        <w:t xml:space="preserve">3.2.1 </w:t>
      </w:r>
      <w:r w:rsidR="003E29AC" w:rsidRPr="00263666">
        <w:rPr>
          <w:b/>
        </w:rPr>
        <w:t>Išvados apie techninių atidėjinių tinkamumą ir patikimumą</w:t>
      </w:r>
    </w:p>
    <w:p w14:paraId="3FE638D6" w14:textId="03CD2E9D" w:rsidR="003E29AC" w:rsidRDefault="003E29AC" w:rsidP="009433ED">
      <w:pPr>
        <w:jc w:val="both"/>
      </w:pPr>
      <w:r>
        <w:t xml:space="preserve">3.2.1.1 </w:t>
      </w:r>
      <w:r w:rsidR="0059730B" w:rsidRPr="003B460E">
        <w:rPr>
          <w:i/>
        </w:rPr>
        <w:t>AFA</w:t>
      </w:r>
      <w:r>
        <w:t xml:space="preserve"> </w:t>
      </w:r>
      <w:r w:rsidR="0059730B">
        <w:t>turi</w:t>
      </w:r>
      <w:r>
        <w:t xml:space="preserve"> </w:t>
      </w:r>
      <w:r w:rsidR="0059730B">
        <w:t xml:space="preserve">būti </w:t>
      </w:r>
      <w:r>
        <w:t>aiškiai nurod</w:t>
      </w:r>
      <w:r w:rsidR="0059730B">
        <w:t>omos</w:t>
      </w:r>
      <w:r>
        <w:t xml:space="preserve"> </w:t>
      </w:r>
      <w:r w:rsidR="00A10915" w:rsidRPr="003B460E">
        <w:rPr>
          <w:i/>
        </w:rPr>
        <w:t>techninių atidėjinių</w:t>
      </w:r>
      <w:r w:rsidR="00A10915">
        <w:t xml:space="preserve"> tinkamumo ir patikim</w:t>
      </w:r>
      <w:r w:rsidR="0059730B">
        <w:t>um</w:t>
      </w:r>
      <w:r w:rsidR="00A10915">
        <w:t>o analizės</w:t>
      </w:r>
      <w:r w:rsidR="0059730B">
        <w:t xml:space="preserve"> </w:t>
      </w:r>
      <w:r>
        <w:t>išvad</w:t>
      </w:r>
      <w:r w:rsidR="0059730B">
        <w:t>o</w:t>
      </w:r>
      <w:r>
        <w:t>s</w:t>
      </w:r>
      <w:r w:rsidR="00A10915">
        <w:t>.</w:t>
      </w:r>
      <w:r>
        <w:t xml:space="preserve"> Išvados turėtų apimti </w:t>
      </w:r>
      <w:r w:rsidR="004A147D">
        <w:t xml:space="preserve">bet kokius </w:t>
      </w:r>
      <w:r w:rsidR="0059730B" w:rsidRPr="003B460E">
        <w:rPr>
          <w:i/>
        </w:rPr>
        <w:t>AF</w:t>
      </w:r>
      <w:r w:rsidR="007439A2">
        <w:t xml:space="preserve"> </w:t>
      </w:r>
      <w:r w:rsidR="004A147D">
        <w:t>p</w:t>
      </w:r>
      <w:r w:rsidR="007439A2">
        <w:t>astebėjimus ir identifikuotus reikšmingus trūkumus ar nepakankamumus</w:t>
      </w:r>
      <w:r w:rsidR="00A10915">
        <w:t>,</w:t>
      </w:r>
      <w:r w:rsidR="007439A2">
        <w:t xml:space="preserve"> </w:t>
      </w:r>
      <w:r w:rsidR="0059730B">
        <w:t>pateikiamos</w:t>
      </w:r>
      <w:r w:rsidR="00A10915">
        <w:t xml:space="preserve"> </w:t>
      </w:r>
      <w:r w:rsidR="007439A2">
        <w:t>rekomendacijos kaip tai galėtų būti ištaisyta.</w:t>
      </w:r>
    </w:p>
    <w:p w14:paraId="7E1F3A8D" w14:textId="77777777" w:rsidR="007439A2" w:rsidRDefault="007439A2" w:rsidP="009433ED">
      <w:pPr>
        <w:jc w:val="both"/>
      </w:pPr>
      <w:r>
        <w:t xml:space="preserve">3.2.1.2 </w:t>
      </w:r>
      <w:r w:rsidR="0059730B" w:rsidRPr="003B460E">
        <w:rPr>
          <w:i/>
        </w:rPr>
        <w:t>AFA</w:t>
      </w:r>
      <w:r>
        <w:t xml:space="preserve"> turėtų būti įtraukti </w:t>
      </w:r>
      <w:r w:rsidRPr="003B460E">
        <w:rPr>
          <w:i/>
        </w:rPr>
        <w:t>techninių atidėjinių</w:t>
      </w:r>
      <w:r>
        <w:t xml:space="preserve"> rezultatų vertinima</w:t>
      </w:r>
      <w:r w:rsidR="0059730B">
        <w:t>i</w:t>
      </w:r>
      <w:r w:rsidR="00A10915">
        <w:t>,</w:t>
      </w:r>
      <w:r>
        <w:t xml:space="preserve"> ar pastarieji skaičiuojami pagal Mokumas II direktyvos 75 ir 86 straipsnius</w:t>
      </w:r>
      <w:r w:rsidR="00A10915">
        <w:t>,</w:t>
      </w:r>
      <w:r>
        <w:t xml:space="preserve"> ir pata</w:t>
      </w:r>
      <w:r w:rsidR="00A10915">
        <w:t>rima</w:t>
      </w:r>
      <w:r w:rsidR="0059730B">
        <w:t>i</w:t>
      </w:r>
      <w:r w:rsidR="00A10915">
        <w:t>, jeigu būtini kokie nors pakeitimai siekiant, kad būtų pasiekta atitiktis.</w:t>
      </w:r>
    </w:p>
    <w:p w14:paraId="0F16335A" w14:textId="60E6B7B0" w:rsidR="00E36D33" w:rsidRDefault="00A10915" w:rsidP="009433ED">
      <w:pPr>
        <w:jc w:val="both"/>
      </w:pPr>
      <w:r w:rsidRPr="00853CB4">
        <w:t>3.2.1.3</w:t>
      </w:r>
      <w:r>
        <w:t xml:space="preserve"> </w:t>
      </w:r>
      <w:r w:rsidR="0059730B" w:rsidRPr="003B460E">
        <w:rPr>
          <w:i/>
        </w:rPr>
        <w:t>AFA</w:t>
      </w:r>
      <w:r>
        <w:t xml:space="preserve"> privalo </w:t>
      </w:r>
      <w:r w:rsidR="00BA1DFB">
        <w:t>būti</w:t>
      </w:r>
      <w:r>
        <w:t xml:space="preserve"> aiškiai nurodyti </w:t>
      </w:r>
      <w:r w:rsidR="00BA1DFB">
        <w:t xml:space="preserve">šaltiniai </w:t>
      </w:r>
      <w:r>
        <w:t>ir</w:t>
      </w:r>
      <w:r w:rsidR="00853CB4">
        <w:t xml:space="preserve"> neapibrėžtumo lygis, kylantis dėl daromų įverčių</w:t>
      </w:r>
      <w:r w:rsidR="00853CB4" w:rsidRPr="003B460E">
        <w:rPr>
          <w:i/>
        </w:rPr>
        <w:t xml:space="preserve">, </w:t>
      </w:r>
      <w:r w:rsidR="001908F4" w:rsidRPr="003B460E">
        <w:rPr>
          <w:i/>
        </w:rPr>
        <w:t>techninių atidėjinių</w:t>
      </w:r>
      <w:r w:rsidR="001908F4">
        <w:t xml:space="preserve"> skaičiavimuose. </w:t>
      </w:r>
      <w:r w:rsidR="0059730B" w:rsidRPr="003B460E">
        <w:rPr>
          <w:i/>
        </w:rPr>
        <w:t>AFA</w:t>
      </w:r>
      <w:r w:rsidR="001908F4">
        <w:t xml:space="preserve"> turėtų būti nurodyt</w:t>
      </w:r>
      <w:r w:rsidR="00E36D33">
        <w:t>os</w:t>
      </w:r>
      <w:r w:rsidR="001908F4">
        <w:t xml:space="preserve"> aplinkybės, kurios gali sukelti </w:t>
      </w:r>
      <w:r w:rsidR="00E36D33">
        <w:t xml:space="preserve">faktinių rezultatų nuokrypį nuo pagrindinių </w:t>
      </w:r>
      <w:r w:rsidR="00E36D33" w:rsidRPr="003B460E">
        <w:rPr>
          <w:i/>
        </w:rPr>
        <w:t>techninių atidėjinių</w:t>
      </w:r>
      <w:r w:rsidR="00E36D33">
        <w:t xml:space="preserve"> skaičiavimui naudotų prielaidų.</w:t>
      </w:r>
    </w:p>
    <w:p w14:paraId="61BCCE8C" w14:textId="77777777" w:rsidR="00E36D33" w:rsidRPr="00263666" w:rsidRDefault="00E36D33" w:rsidP="009433ED">
      <w:pPr>
        <w:ind w:left="567" w:hanging="567"/>
        <w:jc w:val="both"/>
        <w:rPr>
          <w:b/>
        </w:rPr>
      </w:pPr>
      <w:r w:rsidRPr="00263666">
        <w:rPr>
          <w:b/>
        </w:rPr>
        <w:t>3.2.2 Svarbi informacija apie techninius atidėjinius</w:t>
      </w:r>
    </w:p>
    <w:p w14:paraId="234CBC4F" w14:textId="7B82F5E5" w:rsidR="00A10915" w:rsidRDefault="00070E4D" w:rsidP="009433ED">
      <w:pPr>
        <w:jc w:val="both"/>
      </w:pPr>
      <w:r>
        <w:t>3.2.2.1.</w:t>
      </w:r>
      <w:r w:rsidR="00E62C10">
        <w:t xml:space="preserve"> </w:t>
      </w:r>
      <w:r w:rsidR="0059730B" w:rsidRPr="003B460E">
        <w:rPr>
          <w:i/>
        </w:rPr>
        <w:t>AF</w:t>
      </w:r>
      <w:r w:rsidR="00E62C10">
        <w:t xml:space="preserve"> turėtų užtikrinti, kad faktoriai, kurie daro reikšmingą įtaką </w:t>
      </w:r>
      <w:r w:rsidR="00E62C10" w:rsidRPr="003B460E">
        <w:rPr>
          <w:i/>
        </w:rPr>
        <w:t>techninių atidėjinių</w:t>
      </w:r>
      <w:r w:rsidR="00E62C10">
        <w:t xml:space="preserve"> sumai, tokie kaip rizikos veiksniai ir prielaidos</w:t>
      </w:r>
      <w:r>
        <w:t>,</w:t>
      </w:r>
      <w:r w:rsidR="009724EB">
        <w:t xml:space="preserve"> </w:t>
      </w:r>
      <w:r w:rsidR="00926DDF">
        <w:t>būtų</w:t>
      </w:r>
      <w:r w:rsidR="009724EB">
        <w:t xml:space="preserve"> aiškiai išdėstyti </w:t>
      </w:r>
      <w:r w:rsidR="0059730B" w:rsidRPr="003B460E">
        <w:rPr>
          <w:i/>
        </w:rPr>
        <w:t>AFA</w:t>
      </w:r>
      <w:r w:rsidR="009724EB">
        <w:t>.</w:t>
      </w:r>
    </w:p>
    <w:p w14:paraId="51E0E84F" w14:textId="7ACC64B4" w:rsidR="009724EB" w:rsidRDefault="00263666" w:rsidP="009433ED">
      <w:pPr>
        <w:jc w:val="both"/>
      </w:pPr>
      <w:r>
        <w:t>3.2.2.2 Ypa</w:t>
      </w:r>
      <w:r w:rsidR="003B460E">
        <w:t xml:space="preserve">tingai </w:t>
      </w:r>
      <w:r w:rsidR="0059730B" w:rsidRPr="003B460E">
        <w:rPr>
          <w:i/>
        </w:rPr>
        <w:t>AFA</w:t>
      </w:r>
      <w:r>
        <w:t xml:space="preserve"> turėtų būti atkreiptas dėmesys į reikšmingus sprendimus</w:t>
      </w:r>
      <w:r w:rsidR="001460DE">
        <w:t>,</w:t>
      </w:r>
      <w:r>
        <w:t xml:space="preserve"> daromus </w:t>
      </w:r>
      <w:r w:rsidRPr="003B460E">
        <w:rPr>
          <w:i/>
        </w:rPr>
        <w:t>techninių atidėjinių</w:t>
      </w:r>
      <w:r>
        <w:t xml:space="preserve"> skaičiavimuose.</w:t>
      </w:r>
    </w:p>
    <w:p w14:paraId="3C3CEEB9" w14:textId="77777777" w:rsidR="00263666" w:rsidRPr="00263666" w:rsidRDefault="00263666" w:rsidP="009433ED">
      <w:pPr>
        <w:jc w:val="both"/>
        <w:rPr>
          <w:b/>
        </w:rPr>
      </w:pPr>
      <w:r w:rsidRPr="00263666">
        <w:rPr>
          <w:b/>
        </w:rPr>
        <w:t>3.2.3. Laikotarpio pradžios ir pabaigos techninių atidėjinių atskleidimas</w:t>
      </w:r>
    </w:p>
    <w:p w14:paraId="089F08C0" w14:textId="40153176" w:rsidR="00263666" w:rsidRDefault="00263666" w:rsidP="009433ED">
      <w:pPr>
        <w:jc w:val="both"/>
      </w:pPr>
      <w:r>
        <w:lastRenderedPageBreak/>
        <w:t>3.2.3.1</w:t>
      </w:r>
      <w:r w:rsidR="000D65B5">
        <w:t xml:space="preserve"> </w:t>
      </w:r>
      <w:r w:rsidR="0059730B" w:rsidRPr="003B460E">
        <w:rPr>
          <w:i/>
        </w:rPr>
        <w:t>AFA</w:t>
      </w:r>
      <w:r w:rsidR="000D65B5">
        <w:t xml:space="preserve"> turėtų būti atskleisti laikotarpio pradžios ir pabaigos techniniai atidėjiniai, jeigu įmanoma, išskirstyti į </w:t>
      </w:r>
      <w:r w:rsidR="001460DE">
        <w:t xml:space="preserve">tiksliausią </w:t>
      </w:r>
      <w:r w:rsidR="000D65B5">
        <w:t xml:space="preserve">įvertį ir rizikos maržą. </w:t>
      </w:r>
      <w:r w:rsidR="0059730B">
        <w:t>P</w:t>
      </w:r>
      <w:r w:rsidR="000D65B5">
        <w:t>ateikt</w:t>
      </w:r>
      <w:r w:rsidR="0059730B">
        <w:t>a</w:t>
      </w:r>
      <w:r w:rsidR="000D65B5">
        <w:t xml:space="preserve"> pagrindinių pozicijų pokyči</w:t>
      </w:r>
      <w:r w:rsidR="0059730B">
        <w:t>ų apžvalga</w:t>
      </w:r>
      <w:r w:rsidR="000D65B5">
        <w:t>.</w:t>
      </w:r>
    </w:p>
    <w:p w14:paraId="581F638C" w14:textId="77777777" w:rsidR="000D65B5" w:rsidRPr="000D65B5" w:rsidRDefault="000D65B5" w:rsidP="009433ED">
      <w:pPr>
        <w:ind w:left="567" w:hanging="567"/>
        <w:jc w:val="both"/>
        <w:rPr>
          <w:b/>
        </w:rPr>
      </w:pPr>
      <w:r w:rsidRPr="000D65B5">
        <w:rPr>
          <w:b/>
        </w:rPr>
        <w:t>3.2.4. Proceso koordinavimas</w:t>
      </w:r>
    </w:p>
    <w:p w14:paraId="473ADBBC" w14:textId="4F15EEF5" w:rsidR="001908F4" w:rsidRDefault="000D65B5" w:rsidP="009433ED">
      <w:pPr>
        <w:ind w:left="567" w:hanging="567"/>
        <w:jc w:val="both"/>
        <w:rPr>
          <w:highlight w:val="yellow"/>
        </w:rPr>
      </w:pPr>
      <w:r>
        <w:t xml:space="preserve">3.2.4.1. </w:t>
      </w:r>
      <w:r w:rsidR="0059730B">
        <w:t>AFA</w:t>
      </w:r>
      <w:r>
        <w:t xml:space="preserve"> turėtų būti </w:t>
      </w:r>
      <w:r w:rsidR="00DB3959">
        <w:t xml:space="preserve">apžvelgtos </w:t>
      </w:r>
      <w:r w:rsidR="00926DDF">
        <w:t>techninių atidėjinių skaičiavimo</w:t>
      </w:r>
      <w:r w:rsidR="00790DE6">
        <w:t xml:space="preserve"> procedūros ir</w:t>
      </w:r>
      <w:r w:rsidR="00926DDF">
        <w:t xml:space="preserve"> </w:t>
      </w:r>
      <w:r w:rsidR="004C4C2B" w:rsidRPr="00790DE6">
        <w:t>procesa</w:t>
      </w:r>
      <w:r w:rsidR="004C4C2B">
        <w:t>i</w:t>
      </w:r>
      <w:r w:rsidR="00790DE6">
        <w:t>.</w:t>
      </w:r>
    </w:p>
    <w:p w14:paraId="380C8806" w14:textId="77777777" w:rsidR="00926DDF" w:rsidRPr="00926DDF" w:rsidRDefault="00926DDF" w:rsidP="009433ED">
      <w:pPr>
        <w:ind w:left="567" w:hanging="567"/>
        <w:jc w:val="both"/>
        <w:rPr>
          <w:b/>
        </w:rPr>
      </w:pPr>
      <w:r w:rsidRPr="00926DDF">
        <w:rPr>
          <w:b/>
        </w:rPr>
        <w:t>3.2.5. Duomenų pakankamumas ir kokybė</w:t>
      </w:r>
    </w:p>
    <w:p w14:paraId="53CB2805" w14:textId="5510C010" w:rsidR="00926DDF" w:rsidRDefault="00070E4D" w:rsidP="009433ED">
      <w:pPr>
        <w:jc w:val="both"/>
      </w:pPr>
      <w:r>
        <w:t>3.2.5.1.</w:t>
      </w:r>
      <w:r w:rsidR="00926DDF">
        <w:t xml:space="preserve"> </w:t>
      </w:r>
      <w:r w:rsidR="0059730B" w:rsidRPr="00772D26">
        <w:rPr>
          <w:i/>
        </w:rPr>
        <w:t>AFA</w:t>
      </w:r>
      <w:r w:rsidR="00926DDF">
        <w:t xml:space="preserve"> privalo būti pateikta </w:t>
      </w:r>
      <w:r w:rsidR="0059730B" w:rsidRPr="00772D26">
        <w:rPr>
          <w:i/>
        </w:rPr>
        <w:t>AF</w:t>
      </w:r>
      <w:r w:rsidR="00926DDF">
        <w:t xml:space="preserve"> atlikto </w:t>
      </w:r>
      <w:r w:rsidR="00926DDF" w:rsidRPr="00772D26">
        <w:rPr>
          <w:i/>
        </w:rPr>
        <w:t>duomenų</w:t>
      </w:r>
      <w:r w:rsidR="00926DDF">
        <w:t xml:space="preserve">, naudojamų </w:t>
      </w:r>
      <w:r w:rsidR="00926DDF" w:rsidRPr="00772D26">
        <w:rPr>
          <w:i/>
        </w:rPr>
        <w:t>techninių atidėjinių</w:t>
      </w:r>
      <w:r w:rsidR="00926DDF">
        <w:t xml:space="preserve"> skaičiavimuose, vertinimo apžvalga. Tai galėtų apimti </w:t>
      </w:r>
      <w:r w:rsidR="00926DDF" w:rsidRPr="00772D26">
        <w:rPr>
          <w:i/>
        </w:rPr>
        <w:t>duomenų</w:t>
      </w:r>
      <w:r w:rsidR="00926DDF">
        <w:t xml:space="preserve"> aprašymą ir jų šaltinį, taikomas kontrolės priemones, </w:t>
      </w:r>
      <w:r w:rsidR="00460F58" w:rsidRPr="00772D26">
        <w:rPr>
          <w:i/>
        </w:rPr>
        <w:t>duomenų</w:t>
      </w:r>
      <w:r w:rsidR="00460F58">
        <w:t xml:space="preserve"> </w:t>
      </w:r>
      <w:r w:rsidR="00427054">
        <w:t>tinkamumo vertinim</w:t>
      </w:r>
      <w:r w:rsidR="00460F58">
        <w:t>ą (tikslumo, aktualumo, patikimumo ir išsamumo), atsižvelgiant į duomenų panaudojimo tikslą.</w:t>
      </w:r>
    </w:p>
    <w:p w14:paraId="33CB197D" w14:textId="1F071B6D" w:rsidR="00460F58" w:rsidRDefault="00460F58" w:rsidP="009433ED">
      <w:pPr>
        <w:jc w:val="both"/>
      </w:pPr>
      <w:r>
        <w:t xml:space="preserve">3.2.5.2. </w:t>
      </w:r>
      <w:r w:rsidR="00790DE6" w:rsidRPr="00772D26">
        <w:rPr>
          <w:i/>
        </w:rPr>
        <w:t>AFA</w:t>
      </w:r>
      <w:r w:rsidRPr="00772D26">
        <w:rPr>
          <w:i/>
        </w:rPr>
        <w:t xml:space="preserve"> </w:t>
      </w:r>
      <w:r>
        <w:t xml:space="preserve">privalo būti nurodyti bet kokie </w:t>
      </w:r>
      <w:r w:rsidRPr="00772D26">
        <w:rPr>
          <w:i/>
        </w:rPr>
        <w:t>reikšmingi duomenų</w:t>
      </w:r>
      <w:r>
        <w:t xml:space="preserve"> neapibrėžtumai ar apribojimai ir pateiktas požiūris į juos kiek tai susiję su </w:t>
      </w:r>
      <w:r w:rsidRPr="00772D26">
        <w:rPr>
          <w:i/>
        </w:rPr>
        <w:t>techninių atidėjinių</w:t>
      </w:r>
      <w:r>
        <w:t xml:space="preserve"> skaičiavimais.</w:t>
      </w:r>
      <w:r w:rsidR="00333F9D">
        <w:t xml:space="preserve"> Mažiausiai gali būti įtraukiami apribojimai</w:t>
      </w:r>
      <w:r w:rsidR="00772D26">
        <w:t>, susiję su:</w:t>
      </w:r>
      <w:r w:rsidR="002077BD" w:rsidRPr="00333F9D">
        <w:t xml:space="preserve"> j</w:t>
      </w:r>
      <w:r w:rsidR="002077BD" w:rsidRPr="00790DE6">
        <w:t>ų</w:t>
      </w:r>
      <w:r w:rsidR="002077BD">
        <w:t xml:space="preserve"> </w:t>
      </w:r>
      <w:r w:rsidR="00333F9D">
        <w:t>tinkamum</w:t>
      </w:r>
      <w:r w:rsidR="00772D26">
        <w:t>u</w:t>
      </w:r>
      <w:r w:rsidR="00333F9D">
        <w:t xml:space="preserve"> </w:t>
      </w:r>
      <w:r w:rsidR="002077BD">
        <w:t xml:space="preserve">tikslui pasiekti, </w:t>
      </w:r>
      <w:r w:rsidR="00333F9D">
        <w:t>nuoseklum</w:t>
      </w:r>
      <w:r w:rsidR="00772D26">
        <w:t>u laike</w:t>
      </w:r>
      <w:r w:rsidR="00070E4D">
        <w:t>,</w:t>
      </w:r>
      <w:r w:rsidR="002077BD">
        <w:t xml:space="preserve"> informacinių technologijų </w:t>
      </w:r>
      <w:r w:rsidR="00333F9D">
        <w:t>sistem</w:t>
      </w:r>
      <w:r w:rsidR="00772D26">
        <w:t>omis</w:t>
      </w:r>
      <w:r w:rsidR="002077BD">
        <w:t>, individualių polisų duomenų ir istorinių duomenų galimybė</w:t>
      </w:r>
      <w:r w:rsidR="00772D26">
        <w:t>mi</w:t>
      </w:r>
      <w:r w:rsidR="002077BD">
        <w:t>s.</w:t>
      </w:r>
    </w:p>
    <w:p w14:paraId="119DA9CE" w14:textId="2FE0409D" w:rsidR="002077BD" w:rsidRDefault="002077BD" w:rsidP="009433ED">
      <w:pPr>
        <w:jc w:val="both"/>
      </w:pPr>
      <w:r>
        <w:t xml:space="preserve">3.2.5.3. </w:t>
      </w:r>
      <w:r w:rsidR="00790DE6" w:rsidRPr="00772D26">
        <w:rPr>
          <w:i/>
        </w:rPr>
        <w:t>AFA</w:t>
      </w:r>
      <w:r>
        <w:t xml:space="preserve"> turėtų būti pateikt</w:t>
      </w:r>
      <w:r w:rsidR="00790DE6">
        <w:t>a</w:t>
      </w:r>
      <w:r w:rsidR="00754451">
        <w:t xml:space="preserve"> </w:t>
      </w:r>
      <w:r w:rsidR="00754451" w:rsidRPr="00772D26">
        <w:rPr>
          <w:i/>
        </w:rPr>
        <w:t>technini</w:t>
      </w:r>
      <w:r w:rsidR="002540DF" w:rsidRPr="00772D26">
        <w:rPr>
          <w:i/>
        </w:rPr>
        <w:t>ų</w:t>
      </w:r>
      <w:r w:rsidR="00754451" w:rsidRPr="00772D26">
        <w:rPr>
          <w:i/>
        </w:rPr>
        <w:t xml:space="preserve"> atidėjini</w:t>
      </w:r>
      <w:r w:rsidR="002540DF" w:rsidRPr="00772D26">
        <w:rPr>
          <w:i/>
        </w:rPr>
        <w:t>ų</w:t>
      </w:r>
      <w:r w:rsidR="002540DF">
        <w:t xml:space="preserve"> pagal </w:t>
      </w:r>
      <w:r w:rsidR="00333F9D">
        <w:t>veiklos kryptis</w:t>
      </w:r>
      <w:r w:rsidR="002540DF">
        <w:t xml:space="preserve"> apžvalga, </w:t>
      </w:r>
      <w:r w:rsidR="002540DF" w:rsidRPr="00772D26">
        <w:rPr>
          <w:i/>
        </w:rPr>
        <w:t>duomenų</w:t>
      </w:r>
      <w:r w:rsidR="002540DF">
        <w:t xml:space="preserve"> suskirstymas į homogenines rizikos grupes ir šio suskirstymo tinkamumo vertinimas </w:t>
      </w:r>
      <w:r w:rsidR="002540DF" w:rsidRPr="00772D26">
        <w:rPr>
          <w:i/>
        </w:rPr>
        <w:t>įmonės</w:t>
      </w:r>
      <w:r w:rsidR="002540DF">
        <w:t xml:space="preserve"> prisiimtos rizikos atžvilgiu.</w:t>
      </w:r>
    </w:p>
    <w:p w14:paraId="6887EBB2" w14:textId="52E93A86" w:rsidR="002540DF" w:rsidRDefault="002540DF" w:rsidP="009433ED">
      <w:pPr>
        <w:jc w:val="both"/>
      </w:pPr>
      <w:r>
        <w:t xml:space="preserve">3.2.5.4. </w:t>
      </w:r>
      <w:r w:rsidR="00790DE6" w:rsidRPr="00772D26">
        <w:rPr>
          <w:i/>
        </w:rPr>
        <w:t>AFA</w:t>
      </w:r>
      <w:r>
        <w:t xml:space="preserve"> </w:t>
      </w:r>
      <w:r w:rsidR="00070E4D">
        <w:t>turėtų</w:t>
      </w:r>
      <w:r>
        <w:t xml:space="preserve"> būti </w:t>
      </w:r>
      <w:r w:rsidR="008813C8">
        <w:t xml:space="preserve">pateikiama atitinkama finansų rinkų informacija, turimi </w:t>
      </w:r>
      <w:r w:rsidR="008813C8" w:rsidRPr="00772D26">
        <w:rPr>
          <w:i/>
        </w:rPr>
        <w:t>duomenys</w:t>
      </w:r>
      <w:r w:rsidR="008813C8">
        <w:t xml:space="preserve"> apie draudimo riziką, paaiškinimai</w:t>
      </w:r>
      <w:r w:rsidR="00F522C9">
        <w:t>,</w:t>
      </w:r>
      <w:r w:rsidR="008813C8">
        <w:t xml:space="preserve"> kaip tai integruota į </w:t>
      </w:r>
      <w:r w:rsidR="008813C8" w:rsidRPr="00772D26">
        <w:rPr>
          <w:i/>
        </w:rPr>
        <w:t>techninių atidėjinių</w:t>
      </w:r>
      <w:r w:rsidR="008813C8">
        <w:t xml:space="preserve"> vertinimą.</w:t>
      </w:r>
    </w:p>
    <w:p w14:paraId="4169FDC8" w14:textId="77777777" w:rsidR="00790DE6" w:rsidRPr="00BA3118" w:rsidRDefault="00790DE6" w:rsidP="009433ED">
      <w:pPr>
        <w:jc w:val="both"/>
        <w:rPr>
          <w:b/>
        </w:rPr>
      </w:pPr>
      <w:r w:rsidRPr="00BA3118">
        <w:rPr>
          <w:b/>
        </w:rPr>
        <w:t>3.2.6 Metodai ir modeliai</w:t>
      </w:r>
    </w:p>
    <w:p w14:paraId="1A39ADA3" w14:textId="2290B205" w:rsidR="00790DE6" w:rsidRDefault="00790DE6" w:rsidP="009433ED">
      <w:pPr>
        <w:jc w:val="both"/>
      </w:pPr>
      <w:r w:rsidRPr="00BC1201">
        <w:t xml:space="preserve">3.2.6.1 </w:t>
      </w:r>
      <w:r w:rsidRPr="00E077A9">
        <w:rPr>
          <w:i/>
        </w:rPr>
        <w:t>AFA</w:t>
      </w:r>
      <w:r>
        <w:t xml:space="preserve"> turi </w:t>
      </w:r>
      <w:r w:rsidR="00E077A9">
        <w:t xml:space="preserve">būti </w:t>
      </w:r>
      <w:r>
        <w:t>apžvelgt</w:t>
      </w:r>
      <w:r w:rsidR="00E077A9">
        <w:t>as</w:t>
      </w:r>
      <w:r>
        <w:t xml:space="preserve"> techninių atidėjinių skaičiavimuose naudotų metodų ir modelių tinkamum</w:t>
      </w:r>
      <w:r w:rsidR="00E077A9">
        <w:t>as</w:t>
      </w:r>
      <w:r>
        <w:t xml:space="preserve"> pagal pagrindinius rizikos veiksnius, </w:t>
      </w:r>
      <w:r w:rsidRPr="00E077A9">
        <w:rPr>
          <w:i/>
        </w:rPr>
        <w:t>įmonės</w:t>
      </w:r>
      <w:r>
        <w:t xml:space="preserve"> veiklos kryptis ir verslo valdymo strategiją.</w:t>
      </w:r>
    </w:p>
    <w:p w14:paraId="31C700BC" w14:textId="77777777" w:rsidR="00790DE6" w:rsidRDefault="00790DE6" w:rsidP="009433ED">
      <w:pPr>
        <w:jc w:val="both"/>
      </w:pPr>
      <w:r>
        <w:t xml:space="preserve">3.2.6.2 </w:t>
      </w:r>
      <w:r w:rsidRPr="00E077A9">
        <w:rPr>
          <w:i/>
        </w:rPr>
        <w:t>AFA</w:t>
      </w:r>
      <w:r>
        <w:t xml:space="preserve"> turėtų būti atkreipiamas dėmesys į bet kokius neįprastus ar nestandartinius metodus, kurie paprastai nėra naudojami rinkoje </w:t>
      </w:r>
      <w:r w:rsidRPr="00E077A9">
        <w:rPr>
          <w:i/>
        </w:rPr>
        <w:t>techniniams atidėjiniams</w:t>
      </w:r>
      <w:r>
        <w:t xml:space="preserve"> skaičiuoti, įskaitant loginį pagrindimą, kodėl tokie metodai pasirinkti.</w:t>
      </w:r>
    </w:p>
    <w:p w14:paraId="3A7400D1" w14:textId="77777777" w:rsidR="00790DE6" w:rsidRDefault="00790DE6" w:rsidP="009433ED">
      <w:pPr>
        <w:jc w:val="both"/>
      </w:pPr>
      <w:r>
        <w:t xml:space="preserve">3.2.6.3 </w:t>
      </w:r>
      <w:r w:rsidRPr="00E077A9">
        <w:rPr>
          <w:i/>
        </w:rPr>
        <w:t>AFA</w:t>
      </w:r>
      <w:r>
        <w:t xml:space="preserve"> turėtų būti apžvelgti </w:t>
      </w:r>
      <w:r w:rsidRPr="00E077A9">
        <w:rPr>
          <w:i/>
        </w:rPr>
        <w:t>techninių atidėjinių</w:t>
      </w:r>
      <w:r>
        <w:t xml:space="preserve"> skaičiavimo metodai toms sutartims, kurioms dėl duomenų trūkumo nebuvo galima taikyti patikimo </w:t>
      </w:r>
      <w:proofErr w:type="spellStart"/>
      <w:r>
        <w:t>aktuarinio</w:t>
      </w:r>
      <w:proofErr w:type="spellEnd"/>
      <w:r>
        <w:t xml:space="preserve"> metodo, ypač tais atvejais, kurie nurodyti Mokumas II direktyvos 82 straipsnyje. Tokių draudimo sutarčių </w:t>
      </w:r>
      <w:r w:rsidRPr="00E077A9">
        <w:rPr>
          <w:i/>
        </w:rPr>
        <w:t>techninių atidėjinių</w:t>
      </w:r>
      <w:r>
        <w:t xml:space="preserve"> skaičiavimuose naudotų </w:t>
      </w:r>
      <w:proofErr w:type="spellStart"/>
      <w:r>
        <w:t>aproksimacijų</w:t>
      </w:r>
      <w:proofErr w:type="spellEnd"/>
      <w:r>
        <w:t xml:space="preserve"> tinkamumas taip pat turėtų būti pateiktas </w:t>
      </w:r>
      <w:r w:rsidRPr="00E077A9">
        <w:rPr>
          <w:i/>
        </w:rPr>
        <w:t>AFA</w:t>
      </w:r>
      <w:r>
        <w:t>.</w:t>
      </w:r>
    </w:p>
    <w:p w14:paraId="0F502792" w14:textId="77777777" w:rsidR="00790DE6" w:rsidRDefault="00790DE6" w:rsidP="009433ED">
      <w:pPr>
        <w:jc w:val="both"/>
      </w:pPr>
      <w:r>
        <w:t xml:space="preserve">3.2.6.4 </w:t>
      </w:r>
      <w:r w:rsidRPr="00E077A9">
        <w:rPr>
          <w:i/>
        </w:rPr>
        <w:t>AFA</w:t>
      </w:r>
      <w:r>
        <w:t xml:space="preserve"> privalo būti įvertintas pasirinkimo galimybių ir garantijų, numatytų draudimo ir perdraudimo sutartyse, metodų ir </w:t>
      </w:r>
      <w:r w:rsidRPr="00E077A9">
        <w:rPr>
          <w:i/>
        </w:rPr>
        <w:t>modelių</w:t>
      </w:r>
      <w:r>
        <w:t xml:space="preserve"> tinkamumas.</w:t>
      </w:r>
    </w:p>
    <w:p w14:paraId="110AD71F" w14:textId="77777777" w:rsidR="00790DE6" w:rsidRDefault="00790DE6" w:rsidP="009433ED">
      <w:pPr>
        <w:jc w:val="both"/>
      </w:pPr>
      <w:r>
        <w:t xml:space="preserve">3.2.6.5 Jei </w:t>
      </w:r>
      <w:r w:rsidRPr="00E077A9">
        <w:rPr>
          <w:i/>
        </w:rPr>
        <w:t>AF</w:t>
      </w:r>
      <w:r>
        <w:t xml:space="preserve"> nustato, kad </w:t>
      </w:r>
      <w:r w:rsidRPr="00E077A9">
        <w:rPr>
          <w:i/>
        </w:rPr>
        <w:t>techninių atidėjinių</w:t>
      </w:r>
      <w:r>
        <w:t xml:space="preserve"> skaičiavimams naudojamos informacinės technologijos nepakankamos atitinkamoms </w:t>
      </w:r>
      <w:proofErr w:type="spellStart"/>
      <w:r>
        <w:t>aktuarinėms</w:t>
      </w:r>
      <w:proofErr w:type="spellEnd"/>
      <w:r>
        <w:t xml:space="preserve"> ir statistinėms procedūroms palaikyti, tai turėtų būti paminėta </w:t>
      </w:r>
      <w:r w:rsidRPr="00E077A9">
        <w:rPr>
          <w:i/>
        </w:rPr>
        <w:t>AFA</w:t>
      </w:r>
      <w:r>
        <w:t>.</w:t>
      </w:r>
    </w:p>
    <w:p w14:paraId="67EB73E3" w14:textId="187D6D0B" w:rsidR="00790DE6" w:rsidRDefault="00790DE6" w:rsidP="009433ED">
      <w:pPr>
        <w:jc w:val="both"/>
      </w:pPr>
      <w:r>
        <w:t xml:space="preserve">3.2.6.6 Jei </w:t>
      </w:r>
      <w:r w:rsidRPr="00E077A9">
        <w:rPr>
          <w:i/>
        </w:rPr>
        <w:t>techninių atidėjinių</w:t>
      </w:r>
      <w:r>
        <w:t xml:space="preserve"> skaičiavimas priklauso nuo kelių metodų ar </w:t>
      </w:r>
      <w:r w:rsidRPr="00C300A2">
        <w:rPr>
          <w:i/>
        </w:rPr>
        <w:t>modelių</w:t>
      </w:r>
      <w:r>
        <w:t xml:space="preserve">, </w:t>
      </w:r>
      <w:r w:rsidRPr="00E077A9">
        <w:rPr>
          <w:i/>
        </w:rPr>
        <w:t>AFA</w:t>
      </w:r>
      <w:r>
        <w:t xml:space="preserve"> turėtų nurodyti materialius skirtumus tarp rezultatų, gautų naudojantis šiais metodais ar </w:t>
      </w:r>
      <w:r w:rsidRPr="00B546BA">
        <w:rPr>
          <w:i/>
        </w:rPr>
        <w:t>modeliais</w:t>
      </w:r>
      <w:r w:rsidR="00F522C9">
        <w:t>,</w:t>
      </w:r>
      <w:r>
        <w:t xml:space="preserve"> ir kodėl tokie skirtumai galimi.</w:t>
      </w:r>
    </w:p>
    <w:p w14:paraId="4EC9AB13" w14:textId="77777777" w:rsidR="00790DE6" w:rsidRDefault="00790DE6" w:rsidP="009433ED">
      <w:pPr>
        <w:jc w:val="both"/>
      </w:pPr>
      <w:r>
        <w:t xml:space="preserve">3.2.6.7 Jei per ataskaitinius metus buvo reikšmingų metodų ir </w:t>
      </w:r>
      <w:r w:rsidRPr="00E077A9">
        <w:rPr>
          <w:i/>
        </w:rPr>
        <w:t>modelių</w:t>
      </w:r>
      <w:r>
        <w:t xml:space="preserve"> pasikeitimų, jie turėtų būti detalizuoti </w:t>
      </w:r>
      <w:r w:rsidRPr="00E077A9">
        <w:rPr>
          <w:i/>
        </w:rPr>
        <w:t>AFA</w:t>
      </w:r>
      <w:r>
        <w:t xml:space="preserve">. Taip pat turėtų būti pateikta tokių pasikeitimų argumentacija ir įvertinta įtaka </w:t>
      </w:r>
      <w:r w:rsidRPr="00E077A9">
        <w:rPr>
          <w:i/>
        </w:rPr>
        <w:t>techniniams atidėjiniams</w:t>
      </w:r>
      <w:r>
        <w:t xml:space="preserve">. </w:t>
      </w:r>
    </w:p>
    <w:p w14:paraId="29B4C90D" w14:textId="77777777" w:rsidR="00790DE6" w:rsidRPr="00BA3118" w:rsidRDefault="00790DE6" w:rsidP="009433ED">
      <w:pPr>
        <w:jc w:val="both"/>
        <w:rPr>
          <w:b/>
        </w:rPr>
      </w:pPr>
      <w:r w:rsidRPr="00BA3118">
        <w:rPr>
          <w:b/>
        </w:rPr>
        <w:t>3.2.7 Prielaidos</w:t>
      </w:r>
    </w:p>
    <w:p w14:paraId="1791C6B3" w14:textId="77777777" w:rsidR="00790DE6" w:rsidRDefault="00790DE6" w:rsidP="009433ED">
      <w:pPr>
        <w:jc w:val="both"/>
      </w:pPr>
      <w:r>
        <w:lastRenderedPageBreak/>
        <w:t xml:space="preserve">3.2.7.1 </w:t>
      </w:r>
      <w:r w:rsidRPr="00E077A9">
        <w:rPr>
          <w:i/>
        </w:rPr>
        <w:t>AFA</w:t>
      </w:r>
      <w:r>
        <w:t xml:space="preserve"> turi būti aprašyti duomenys ir metodai, pagal kuriuos įvertintas </w:t>
      </w:r>
      <w:r w:rsidRPr="00E077A9">
        <w:rPr>
          <w:i/>
        </w:rPr>
        <w:t>techninių atidėjinių</w:t>
      </w:r>
      <w:r>
        <w:t xml:space="preserve"> skaičiavimuose naudotų prielaidų tinkamumas.</w:t>
      </w:r>
    </w:p>
    <w:p w14:paraId="4E8085BC" w14:textId="77777777" w:rsidR="00790DE6" w:rsidRDefault="00790DE6" w:rsidP="009433ED">
      <w:pPr>
        <w:jc w:val="both"/>
      </w:pPr>
      <w:r>
        <w:t xml:space="preserve">3.2.7.2 </w:t>
      </w:r>
      <w:r w:rsidRPr="00E077A9">
        <w:rPr>
          <w:i/>
        </w:rPr>
        <w:t>AFA</w:t>
      </w:r>
      <w:r>
        <w:t xml:space="preserve"> turėtų būti atskleistos pagrindinės </w:t>
      </w:r>
      <w:r w:rsidRPr="00E077A9">
        <w:rPr>
          <w:i/>
        </w:rPr>
        <w:t>techninių atidėjinių</w:t>
      </w:r>
      <w:r>
        <w:t xml:space="preserve"> skaičiavimo prielaidos ir paaiškintas jų tinkamumas atsižvelgiant į pagrindinius rizikos veiksnius, galinčius paveikti bendrovės draudimo ar perdraudimo įsipareigojimus. </w:t>
      </w:r>
    </w:p>
    <w:p w14:paraId="33976CCB" w14:textId="77777777" w:rsidR="00790DE6" w:rsidRDefault="00790DE6" w:rsidP="009433ED">
      <w:pPr>
        <w:jc w:val="both"/>
      </w:pPr>
      <w:r>
        <w:t xml:space="preserve">3.2.7.3 </w:t>
      </w:r>
      <w:r w:rsidRPr="00E077A9">
        <w:rPr>
          <w:i/>
        </w:rPr>
        <w:t>AFA</w:t>
      </w:r>
      <w:r>
        <w:t xml:space="preserve"> turėtų būti atskleisti visi reikšmingi prielaidų pasikeitimai lyginant su prielaidomis, galiojusiomis rengiant ankstesnę </w:t>
      </w:r>
      <w:r w:rsidRPr="00E077A9">
        <w:rPr>
          <w:i/>
        </w:rPr>
        <w:t>AFA</w:t>
      </w:r>
      <w:r>
        <w:t>.</w:t>
      </w:r>
    </w:p>
    <w:p w14:paraId="53356603" w14:textId="46707076" w:rsidR="00790DE6" w:rsidRDefault="00790DE6" w:rsidP="009433ED">
      <w:pPr>
        <w:jc w:val="both"/>
      </w:pPr>
      <w:r>
        <w:t xml:space="preserve">3.2.7.4 </w:t>
      </w:r>
      <w:r w:rsidRPr="00E077A9">
        <w:rPr>
          <w:i/>
        </w:rPr>
        <w:t>AFA</w:t>
      </w:r>
      <w:r>
        <w:t xml:space="preserve"> turėtų </w:t>
      </w:r>
      <w:r w:rsidR="00E077A9">
        <w:t xml:space="preserve">būti </w:t>
      </w:r>
      <w:r>
        <w:t>atskleis</w:t>
      </w:r>
      <w:r w:rsidR="00E077A9">
        <w:t>ta</w:t>
      </w:r>
      <w:r>
        <w:t xml:space="preserve"> nuomon</w:t>
      </w:r>
      <w:r w:rsidR="00E077A9">
        <w:t>ė</w:t>
      </w:r>
      <w:r>
        <w:t xml:space="preserve"> apie reikšmingų sprendimų, priimtų vertinant prielaidas, tinkamumą galimai įskaitant, bet neapsiribojant prielaidomis ir interpretacijomis, susijusiomis su:</w:t>
      </w:r>
    </w:p>
    <w:p w14:paraId="429758C2" w14:textId="62973B07" w:rsidR="00790DE6" w:rsidRDefault="00790DE6" w:rsidP="009433ED">
      <w:pPr>
        <w:jc w:val="both"/>
      </w:pPr>
      <w:r>
        <w:t>- sutartyse numatytomis pasirinkimo galimybėmis ir garantijomis</w:t>
      </w:r>
      <w:r w:rsidR="00E077A9">
        <w:t>,</w:t>
      </w:r>
    </w:p>
    <w:p w14:paraId="4334D1E2" w14:textId="5EC0656A" w:rsidR="00790DE6" w:rsidRDefault="00790DE6" w:rsidP="009433ED">
      <w:pPr>
        <w:jc w:val="both"/>
      </w:pPr>
      <w:r>
        <w:t>- draudėjų elgesiu</w:t>
      </w:r>
      <w:r w:rsidR="00E077A9">
        <w:t>,</w:t>
      </w:r>
    </w:p>
    <w:p w14:paraId="5C64A8E9" w14:textId="15FF869A" w:rsidR="00790DE6" w:rsidRDefault="00790DE6" w:rsidP="009433ED">
      <w:pPr>
        <w:jc w:val="both"/>
      </w:pPr>
      <w:r>
        <w:t>- būsimus valdymo veiksmus</w:t>
      </w:r>
      <w:r w:rsidR="00E077A9">
        <w:t>,</w:t>
      </w:r>
    </w:p>
    <w:p w14:paraId="1CB0DC5F" w14:textId="06DB756D" w:rsidR="00790DE6" w:rsidRDefault="00790DE6" w:rsidP="009433ED">
      <w:pPr>
        <w:jc w:val="both"/>
      </w:pPr>
      <w:r>
        <w:t>- iš sandorio šalies atgautinas sumas</w:t>
      </w:r>
      <w:r w:rsidR="00E077A9">
        <w:t>,</w:t>
      </w:r>
    </w:p>
    <w:p w14:paraId="4802E74D" w14:textId="155C258A" w:rsidR="00790DE6" w:rsidRDefault="00790DE6" w:rsidP="009433ED">
      <w:pPr>
        <w:jc w:val="both"/>
      </w:pPr>
      <w:r>
        <w:t xml:space="preserve">- būsimus įvykius, kurie gali paveikti </w:t>
      </w:r>
      <w:r w:rsidR="001F28A9">
        <w:t>įmonės</w:t>
      </w:r>
      <w:r>
        <w:t xml:space="preserve"> draudimo ar perdraudimo įsipareigojimus</w:t>
      </w:r>
      <w:r w:rsidR="00B546BA">
        <w:t>,</w:t>
      </w:r>
    </w:p>
    <w:p w14:paraId="3270570E" w14:textId="77777777" w:rsidR="00790DE6" w:rsidRDefault="00790DE6" w:rsidP="009433ED">
      <w:pPr>
        <w:jc w:val="both"/>
      </w:pPr>
      <w:r>
        <w:t>- įsipareigojimus, kurie gali egzistuoti neskaitant sutartinių įsipareigojimų.</w:t>
      </w:r>
    </w:p>
    <w:p w14:paraId="1AC88503" w14:textId="77777777" w:rsidR="00790DE6" w:rsidRPr="00EE7911" w:rsidRDefault="00790DE6" w:rsidP="009433ED">
      <w:pPr>
        <w:jc w:val="both"/>
        <w:rPr>
          <w:b/>
        </w:rPr>
      </w:pPr>
      <w:r w:rsidRPr="00EE7911">
        <w:rPr>
          <w:b/>
        </w:rPr>
        <w:t>3.2.8 Tiksliausių įverčių ir patirties palyginimas</w:t>
      </w:r>
    </w:p>
    <w:p w14:paraId="19A37E29" w14:textId="4295F2F4" w:rsidR="00790DE6" w:rsidRDefault="00790DE6" w:rsidP="009433ED">
      <w:pPr>
        <w:jc w:val="both"/>
      </w:pPr>
      <w:r>
        <w:t xml:space="preserve">3.2.8.1 </w:t>
      </w:r>
      <w:r w:rsidRPr="00E077A9">
        <w:rPr>
          <w:i/>
        </w:rPr>
        <w:t>AFA</w:t>
      </w:r>
      <w:r>
        <w:t xml:space="preserve"> turėtų </w:t>
      </w:r>
      <w:r w:rsidR="000D3282">
        <w:t xml:space="preserve">būti </w:t>
      </w:r>
      <w:r>
        <w:t xml:space="preserve">apžvelgti tiksliausių įverčių ir patirties palyginimo </w:t>
      </w:r>
      <w:r w:rsidR="000D3282">
        <w:t xml:space="preserve">procesai </w:t>
      </w:r>
      <w:r>
        <w:t xml:space="preserve">ir turi </w:t>
      </w:r>
      <w:r w:rsidR="000D3282">
        <w:t>būti pabrėžta</w:t>
      </w:r>
      <w:r>
        <w:t xml:space="preserve">, jei </w:t>
      </w:r>
      <w:r w:rsidRPr="00E077A9">
        <w:rPr>
          <w:i/>
        </w:rPr>
        <w:t>AF</w:t>
      </w:r>
      <w:r>
        <w:t xml:space="preserve"> kyla abejonių dėl šių procesų efektyvumo.</w:t>
      </w:r>
    </w:p>
    <w:p w14:paraId="302BBBF8" w14:textId="77777777" w:rsidR="00790DE6" w:rsidRDefault="00790DE6" w:rsidP="009433ED">
      <w:pPr>
        <w:jc w:val="both"/>
      </w:pPr>
      <w:r>
        <w:t xml:space="preserve">3.2.8.2 </w:t>
      </w:r>
      <w:r w:rsidRPr="00E077A9">
        <w:rPr>
          <w:i/>
        </w:rPr>
        <w:t>AFA</w:t>
      </w:r>
      <w:r>
        <w:t xml:space="preserve"> turėtų būti atskleistos </w:t>
      </w:r>
      <w:r w:rsidRPr="00E077A9">
        <w:rPr>
          <w:i/>
        </w:rPr>
        <w:t>AF</w:t>
      </w:r>
      <w:r>
        <w:t xml:space="preserve"> peržiūros pastabos apie tiksliausių įverčių kokybę ir tuo remiantis padarytos išvados apie duomenų, metodų ar prielaidų tinkamumą techniniams atidėjiniams skaičiuoti. Vertinant ankstesnių įverčių kokybę, </w:t>
      </w:r>
      <w:r w:rsidRPr="00E077A9">
        <w:rPr>
          <w:i/>
        </w:rPr>
        <w:t>AFA</w:t>
      </w:r>
      <w:r>
        <w:t xml:space="preserve"> turi būti pabrėžti ir pakomentuoti atvejai, kai modeliuoti rezultatai reikšmingai skyrėsi nuo aktualių. Svyravimus gali būti lengviau suprasti, jei šiuose komentaruose jie išskaidomi į nuokrypius dėl atitinkamų aktualių verčių svyravimų ir atsiradusius dėl naudotų duomenų, metodų ar prielaidų (ne)tinkamumo. Jei toks išskaidymas atliekamas, </w:t>
      </w:r>
      <w:r w:rsidRPr="00E077A9">
        <w:rPr>
          <w:i/>
        </w:rPr>
        <w:t>AFA</w:t>
      </w:r>
      <w:r>
        <w:t xml:space="preserve"> turėtų atskleisti su tuo susijusius reikšmingus sprendimus.</w:t>
      </w:r>
    </w:p>
    <w:p w14:paraId="18D6E11A" w14:textId="77777777" w:rsidR="00790DE6" w:rsidRPr="00536CE5" w:rsidRDefault="00790DE6" w:rsidP="009433ED">
      <w:pPr>
        <w:jc w:val="both"/>
        <w:rPr>
          <w:b/>
        </w:rPr>
      </w:pPr>
      <w:r w:rsidRPr="00536CE5">
        <w:rPr>
          <w:b/>
        </w:rPr>
        <w:t>3.2.9 Jautrumo analizė</w:t>
      </w:r>
    </w:p>
    <w:p w14:paraId="06866B48" w14:textId="77777777" w:rsidR="00790DE6" w:rsidRDefault="00790DE6" w:rsidP="009433ED">
      <w:pPr>
        <w:jc w:val="both"/>
      </w:pPr>
      <w:r>
        <w:t xml:space="preserve">3.2.9.1 </w:t>
      </w:r>
      <w:r w:rsidRPr="00E077A9">
        <w:rPr>
          <w:i/>
        </w:rPr>
        <w:t>AFA</w:t>
      </w:r>
      <w:r>
        <w:t xml:space="preserve"> turi būti pateikti techninių atidėjinių jautrumo analizės rezultatai pagal pagrindines rizikas, susijusias su įsipareigojimais, kuriuos tie techniniai atidėjiniai dengia.</w:t>
      </w:r>
    </w:p>
    <w:p w14:paraId="6DCE4B8C" w14:textId="77777777" w:rsidR="00790DE6" w:rsidRDefault="00790DE6" w:rsidP="009433ED">
      <w:pPr>
        <w:jc w:val="both"/>
      </w:pPr>
    </w:p>
    <w:p w14:paraId="1E352203" w14:textId="504CDF58" w:rsidR="00790DE6" w:rsidRPr="00F45072" w:rsidRDefault="00D70D18" w:rsidP="009433ED">
      <w:pPr>
        <w:jc w:val="both"/>
        <w:rPr>
          <w:b/>
        </w:rPr>
      </w:pPr>
      <w:r w:rsidRPr="00F45072">
        <w:rPr>
          <w:b/>
        </w:rPr>
        <w:t xml:space="preserve">3.3 </w:t>
      </w:r>
      <w:r w:rsidR="00C5539F" w:rsidRPr="00F45072">
        <w:rPr>
          <w:b/>
        </w:rPr>
        <w:t>Nuomonė apie rizik</w:t>
      </w:r>
      <w:r w:rsidR="006B12B4">
        <w:rPr>
          <w:b/>
        </w:rPr>
        <w:t>os</w:t>
      </w:r>
      <w:r w:rsidR="00C5539F" w:rsidRPr="00F45072">
        <w:rPr>
          <w:b/>
        </w:rPr>
        <w:t xml:space="preserve"> </w:t>
      </w:r>
      <w:r w:rsidR="0018273E">
        <w:rPr>
          <w:b/>
        </w:rPr>
        <w:t>prisiėmimo</w:t>
      </w:r>
      <w:r w:rsidR="00C5539F" w:rsidRPr="00F45072">
        <w:rPr>
          <w:b/>
        </w:rPr>
        <w:t xml:space="preserve"> </w:t>
      </w:r>
      <w:r w:rsidR="00371632">
        <w:rPr>
          <w:b/>
        </w:rPr>
        <w:t>politiką</w:t>
      </w:r>
    </w:p>
    <w:p w14:paraId="07EA7463" w14:textId="7EA7965C" w:rsidR="00C5539F" w:rsidRPr="00F45072" w:rsidRDefault="00C5539F" w:rsidP="009433ED">
      <w:pPr>
        <w:jc w:val="both"/>
        <w:rPr>
          <w:b/>
        </w:rPr>
      </w:pPr>
      <w:r w:rsidRPr="00F45072">
        <w:rPr>
          <w:b/>
        </w:rPr>
        <w:t>3.3.1 Nuomonė apie bendr</w:t>
      </w:r>
      <w:r w:rsidR="006B12B4">
        <w:rPr>
          <w:b/>
        </w:rPr>
        <w:t>ą</w:t>
      </w:r>
      <w:r w:rsidRPr="00F45072">
        <w:rPr>
          <w:b/>
        </w:rPr>
        <w:t xml:space="preserve"> rizikos </w:t>
      </w:r>
      <w:r w:rsidR="0018273E">
        <w:rPr>
          <w:b/>
        </w:rPr>
        <w:t>prisiėmimo</w:t>
      </w:r>
      <w:r w:rsidRPr="00F45072">
        <w:rPr>
          <w:b/>
        </w:rPr>
        <w:t xml:space="preserve"> </w:t>
      </w:r>
      <w:r w:rsidR="00371632">
        <w:rPr>
          <w:b/>
        </w:rPr>
        <w:t>politiką</w:t>
      </w:r>
    </w:p>
    <w:p w14:paraId="7E8E9797" w14:textId="5C5BD709" w:rsidR="00F45072" w:rsidRDefault="00F45072" w:rsidP="009433ED">
      <w:pPr>
        <w:jc w:val="both"/>
      </w:pPr>
      <w:r>
        <w:t xml:space="preserve">3.3.1.1 </w:t>
      </w:r>
      <w:r w:rsidRPr="0018273E">
        <w:rPr>
          <w:i/>
        </w:rPr>
        <w:t>AFA</w:t>
      </w:r>
      <w:r>
        <w:t xml:space="preserve"> privalo</w:t>
      </w:r>
      <w:r w:rsidR="00333F9D">
        <w:t xml:space="preserve"> būti</w:t>
      </w:r>
      <w:r>
        <w:t xml:space="preserve"> pareikšt</w:t>
      </w:r>
      <w:r w:rsidR="00333F9D">
        <w:t>a</w:t>
      </w:r>
      <w:r>
        <w:t xml:space="preserve"> </w:t>
      </w:r>
      <w:r w:rsidR="00333F9D">
        <w:t xml:space="preserve">nuomonė </w:t>
      </w:r>
      <w:r>
        <w:t xml:space="preserve">apie bendrą </w:t>
      </w:r>
      <w:r w:rsidR="0018273E" w:rsidRPr="0018273E">
        <w:rPr>
          <w:i/>
        </w:rPr>
        <w:t>įmonės</w:t>
      </w:r>
      <w:r w:rsidR="0018273E">
        <w:t xml:space="preserve"> </w:t>
      </w:r>
      <w:r w:rsidRPr="0018273E">
        <w:rPr>
          <w:i/>
        </w:rPr>
        <w:t xml:space="preserve">rizikos </w:t>
      </w:r>
      <w:r w:rsidR="0018273E" w:rsidRPr="0018273E">
        <w:rPr>
          <w:i/>
        </w:rPr>
        <w:t>prisiėmimo</w:t>
      </w:r>
      <w:r>
        <w:t xml:space="preserve"> politiką.</w:t>
      </w:r>
    </w:p>
    <w:p w14:paraId="567DEC5C" w14:textId="4A554B30" w:rsidR="00F45072" w:rsidRDefault="00F45072" w:rsidP="009433ED">
      <w:pPr>
        <w:jc w:val="both"/>
      </w:pPr>
      <w:r>
        <w:t xml:space="preserve">3.3.1.2 </w:t>
      </w:r>
      <w:r w:rsidRPr="0018273E">
        <w:rPr>
          <w:i/>
        </w:rPr>
        <w:t>AFA</w:t>
      </w:r>
      <w:r>
        <w:t xml:space="preserve"> turėtų </w:t>
      </w:r>
      <w:r w:rsidR="00333F9D">
        <w:t xml:space="preserve">būti paaiškinta </w:t>
      </w:r>
      <w:r>
        <w:t xml:space="preserve">kodėl </w:t>
      </w:r>
      <w:r w:rsidRPr="0018273E">
        <w:rPr>
          <w:i/>
        </w:rPr>
        <w:t>AF</w:t>
      </w:r>
      <w:r>
        <w:t xml:space="preserve"> nuomonė apie </w:t>
      </w:r>
      <w:r w:rsidR="0018273E" w:rsidRPr="0018273E">
        <w:rPr>
          <w:i/>
        </w:rPr>
        <w:t>įmonės</w:t>
      </w:r>
      <w:r w:rsidR="0018273E">
        <w:t xml:space="preserve"> </w:t>
      </w:r>
      <w:r w:rsidR="0018273E" w:rsidRPr="0018273E">
        <w:rPr>
          <w:i/>
        </w:rPr>
        <w:t>rizikos prisiėmimo</w:t>
      </w:r>
      <w:r w:rsidR="0018273E">
        <w:t xml:space="preserve"> </w:t>
      </w:r>
      <w:r>
        <w:t>politiką yra būtent tokia</w:t>
      </w:r>
      <w:r w:rsidR="0018273E">
        <w:t>, kokia nurodyta</w:t>
      </w:r>
      <w:r>
        <w:t>.</w:t>
      </w:r>
    </w:p>
    <w:p w14:paraId="08EFA1F1" w14:textId="1F516A3E" w:rsidR="00F45072" w:rsidRDefault="00F45072" w:rsidP="009433ED">
      <w:pPr>
        <w:jc w:val="both"/>
      </w:pPr>
      <w:r>
        <w:t xml:space="preserve">3.3.1.3 </w:t>
      </w:r>
      <w:r w:rsidR="00371632" w:rsidRPr="0018273E">
        <w:rPr>
          <w:i/>
        </w:rPr>
        <w:t xml:space="preserve">AFA </w:t>
      </w:r>
      <w:r w:rsidR="00371632">
        <w:t xml:space="preserve">turėtų </w:t>
      </w:r>
      <w:r w:rsidR="00333F9D">
        <w:t xml:space="preserve">būti </w:t>
      </w:r>
      <w:r w:rsidR="00371632">
        <w:t>paaiškint</w:t>
      </w:r>
      <w:r w:rsidR="00333F9D">
        <w:t>os</w:t>
      </w:r>
      <w:r w:rsidR="00371632">
        <w:t xml:space="preserve"> vis</w:t>
      </w:r>
      <w:r w:rsidR="00333F9D">
        <w:t>o</w:t>
      </w:r>
      <w:r w:rsidR="00371632">
        <w:t>s abejon</w:t>
      </w:r>
      <w:r w:rsidR="00333F9D">
        <w:t>ė</w:t>
      </w:r>
      <w:r w:rsidR="00371632">
        <w:t xml:space="preserve">s, kurias </w:t>
      </w:r>
      <w:r w:rsidR="0018273E" w:rsidRPr="00333F9D">
        <w:rPr>
          <w:i/>
        </w:rPr>
        <w:t>AF</w:t>
      </w:r>
      <w:r w:rsidR="0018273E">
        <w:t xml:space="preserve"> </w:t>
      </w:r>
      <w:r w:rsidR="00371632">
        <w:t xml:space="preserve">gali turėti dėl bendros </w:t>
      </w:r>
      <w:r w:rsidR="00371632" w:rsidRPr="0018273E">
        <w:rPr>
          <w:i/>
        </w:rPr>
        <w:t>rizik</w:t>
      </w:r>
      <w:r w:rsidR="006B12B4">
        <w:rPr>
          <w:i/>
        </w:rPr>
        <w:t>os</w:t>
      </w:r>
      <w:r w:rsidR="00371632" w:rsidRPr="0018273E">
        <w:rPr>
          <w:i/>
        </w:rPr>
        <w:t xml:space="preserve"> </w:t>
      </w:r>
      <w:r w:rsidR="0018273E" w:rsidRPr="0018273E">
        <w:rPr>
          <w:i/>
        </w:rPr>
        <w:t>prisiėmimo</w:t>
      </w:r>
      <w:r w:rsidR="00371632">
        <w:t xml:space="preserve"> politikos tinkamumo.</w:t>
      </w:r>
    </w:p>
    <w:p w14:paraId="21F1C989" w14:textId="7F25A392" w:rsidR="00371632" w:rsidRDefault="00371632" w:rsidP="009433ED">
      <w:pPr>
        <w:jc w:val="both"/>
      </w:pPr>
      <w:r>
        <w:lastRenderedPageBreak/>
        <w:t xml:space="preserve">3.3.1.4 </w:t>
      </w:r>
      <w:r w:rsidRPr="0018273E">
        <w:rPr>
          <w:i/>
        </w:rPr>
        <w:t>AFA</w:t>
      </w:r>
      <w:r>
        <w:t xml:space="preserve"> turėtų </w:t>
      </w:r>
      <w:r w:rsidR="00333F9D">
        <w:t xml:space="preserve">būti </w:t>
      </w:r>
      <w:r>
        <w:t>pateikt</w:t>
      </w:r>
      <w:r w:rsidR="00333F9D">
        <w:t>os</w:t>
      </w:r>
      <w:r>
        <w:t xml:space="preserve"> rekomendacij</w:t>
      </w:r>
      <w:r w:rsidR="00333F9D">
        <w:t>o</w:t>
      </w:r>
      <w:r>
        <w:t xml:space="preserve">s, kaip taisyti </w:t>
      </w:r>
      <w:r w:rsidR="0018273E" w:rsidRPr="0018273E">
        <w:rPr>
          <w:i/>
        </w:rPr>
        <w:t>AF</w:t>
      </w:r>
      <w:r w:rsidR="0018273E">
        <w:t xml:space="preserve"> </w:t>
      </w:r>
      <w:r>
        <w:t xml:space="preserve">rastus </w:t>
      </w:r>
      <w:r w:rsidR="0018273E" w:rsidRPr="0018273E">
        <w:rPr>
          <w:i/>
        </w:rPr>
        <w:t>rizik</w:t>
      </w:r>
      <w:r w:rsidR="006B12B4">
        <w:rPr>
          <w:i/>
        </w:rPr>
        <w:t>os</w:t>
      </w:r>
      <w:r w:rsidR="0018273E" w:rsidRPr="0018273E">
        <w:rPr>
          <w:i/>
        </w:rPr>
        <w:t xml:space="preserve"> prisiėmimo</w:t>
      </w:r>
      <w:r w:rsidR="0018273E">
        <w:t xml:space="preserve"> politikos </w:t>
      </w:r>
      <w:r>
        <w:t xml:space="preserve">trūkumus atsižvelgiant į </w:t>
      </w:r>
      <w:r w:rsidR="0018273E" w:rsidRPr="0018273E">
        <w:rPr>
          <w:i/>
        </w:rPr>
        <w:t>reikšmingumo</w:t>
      </w:r>
      <w:r>
        <w:t xml:space="preserve"> ir </w:t>
      </w:r>
      <w:r w:rsidRPr="0018273E">
        <w:t>proporci</w:t>
      </w:r>
      <w:r w:rsidR="0018273E" w:rsidRPr="0018273E">
        <w:t>ngumo</w:t>
      </w:r>
      <w:r>
        <w:t xml:space="preserve"> principus.</w:t>
      </w:r>
    </w:p>
    <w:p w14:paraId="3E37E67E" w14:textId="2DD710C2" w:rsidR="00371632" w:rsidRPr="00371632" w:rsidRDefault="00371632" w:rsidP="009433ED">
      <w:pPr>
        <w:jc w:val="both"/>
        <w:rPr>
          <w:b/>
        </w:rPr>
      </w:pPr>
      <w:r w:rsidRPr="00371632">
        <w:rPr>
          <w:b/>
        </w:rPr>
        <w:t>3.3.2 Analizės sritys</w:t>
      </w:r>
    </w:p>
    <w:p w14:paraId="2EAABB58" w14:textId="620122F4" w:rsidR="00371632" w:rsidRDefault="00371632" w:rsidP="009433ED">
      <w:pPr>
        <w:jc w:val="both"/>
      </w:pPr>
      <w:r>
        <w:t xml:space="preserve">3.3.2.1. Atliekant bendros </w:t>
      </w:r>
      <w:r w:rsidRPr="0018273E">
        <w:rPr>
          <w:i/>
        </w:rPr>
        <w:t>rizik</w:t>
      </w:r>
      <w:r w:rsidR="006B12B4">
        <w:rPr>
          <w:i/>
        </w:rPr>
        <w:t>os</w:t>
      </w:r>
      <w:r w:rsidRPr="0018273E">
        <w:rPr>
          <w:i/>
        </w:rPr>
        <w:t xml:space="preserve"> </w:t>
      </w:r>
      <w:r w:rsidR="0018273E" w:rsidRPr="0018273E">
        <w:rPr>
          <w:i/>
        </w:rPr>
        <w:t>prisiėmimo</w:t>
      </w:r>
      <w:r>
        <w:t xml:space="preserve"> politikos tinkamumo analizę turi būti išanalizuotos (įskaitant, bet </w:t>
      </w:r>
      <w:r w:rsidR="00B17D04">
        <w:t>ne</w:t>
      </w:r>
      <w:r>
        <w:t xml:space="preserve">apsiribojant) sritys, nuodytos </w:t>
      </w:r>
      <w:r w:rsidR="00624C8B">
        <w:t xml:space="preserve">šio Standarto </w:t>
      </w:r>
      <w:r>
        <w:t>3.3.3 – 3.3.7 punktuose.</w:t>
      </w:r>
    </w:p>
    <w:p w14:paraId="46554F09" w14:textId="559D4207" w:rsidR="00371632" w:rsidRPr="00B00778" w:rsidRDefault="001F3B44" w:rsidP="009433ED">
      <w:pPr>
        <w:jc w:val="both"/>
        <w:rPr>
          <w:b/>
        </w:rPr>
      </w:pPr>
      <w:r w:rsidRPr="00B00778">
        <w:rPr>
          <w:b/>
        </w:rPr>
        <w:t>3.3.3 Įmokų pakankamumas</w:t>
      </w:r>
    </w:p>
    <w:p w14:paraId="0CFAF391" w14:textId="452AF990" w:rsidR="001F3B44" w:rsidRDefault="001F3B44" w:rsidP="009433ED">
      <w:pPr>
        <w:jc w:val="both"/>
      </w:pPr>
      <w:r>
        <w:t xml:space="preserve">3.3.3.1 </w:t>
      </w:r>
      <w:r w:rsidRPr="0018273E">
        <w:rPr>
          <w:i/>
        </w:rPr>
        <w:t>AFA</w:t>
      </w:r>
      <w:r>
        <w:t xml:space="preserve"> privalo </w:t>
      </w:r>
      <w:r w:rsidR="00B17D04">
        <w:t xml:space="preserve">būti pateiktos </w:t>
      </w:r>
      <w:r>
        <w:t>išvad</w:t>
      </w:r>
      <w:r w:rsidR="00B17D04">
        <w:t>os</w:t>
      </w:r>
      <w:r>
        <w:t xml:space="preserve">, ar realu, kad, atsižvelgiant į bendrą </w:t>
      </w:r>
      <w:r w:rsidRPr="0018273E">
        <w:rPr>
          <w:i/>
        </w:rPr>
        <w:t>rizik</w:t>
      </w:r>
      <w:r w:rsidR="006B12B4">
        <w:rPr>
          <w:i/>
        </w:rPr>
        <w:t>os</w:t>
      </w:r>
      <w:r w:rsidRPr="0018273E">
        <w:rPr>
          <w:i/>
        </w:rPr>
        <w:t xml:space="preserve"> </w:t>
      </w:r>
      <w:r w:rsidR="0018273E" w:rsidRPr="0018273E">
        <w:rPr>
          <w:i/>
        </w:rPr>
        <w:t>prisiėmimo</w:t>
      </w:r>
      <w:r w:rsidR="00070E4D">
        <w:t xml:space="preserve"> politiką,</w:t>
      </w:r>
      <w:r>
        <w:t xml:space="preserve"> įmokos bus pakankamos.</w:t>
      </w:r>
      <w:r w:rsidR="00B00778">
        <w:t xml:space="preserve"> Vertinant privaloma atsižvelgti į galimų rizikų (įskaitant </w:t>
      </w:r>
      <w:r w:rsidR="00B00778" w:rsidRPr="0018273E">
        <w:rPr>
          <w:i/>
        </w:rPr>
        <w:t xml:space="preserve">rizikos </w:t>
      </w:r>
      <w:r w:rsidR="0018273E" w:rsidRPr="0018273E">
        <w:rPr>
          <w:i/>
        </w:rPr>
        <w:t>prisiėmimo</w:t>
      </w:r>
      <w:r w:rsidR="00B00778">
        <w:t xml:space="preserve"> rizikas) pobūdį ir </w:t>
      </w:r>
      <w:r w:rsidR="008F4920">
        <w:t>pasirinkim</w:t>
      </w:r>
      <w:r w:rsidR="00E077A9">
        <w:t>o galimybių</w:t>
      </w:r>
      <w:r w:rsidR="008F4920">
        <w:t xml:space="preserve"> </w:t>
      </w:r>
      <w:r w:rsidR="00B00778">
        <w:t>bei garantijų, numatytų draudimo ir perdraudimo sutartyse, galimą įtaką.</w:t>
      </w:r>
    </w:p>
    <w:p w14:paraId="0C731796" w14:textId="70CB539A" w:rsidR="00B00778" w:rsidRPr="00B00778" w:rsidRDefault="00B00778" w:rsidP="009433ED">
      <w:pPr>
        <w:jc w:val="both"/>
        <w:rPr>
          <w:b/>
        </w:rPr>
      </w:pPr>
      <w:r w:rsidRPr="00B00778">
        <w:rPr>
          <w:b/>
        </w:rPr>
        <w:t>3.3.4 Aplinkos pokyčiai</w:t>
      </w:r>
    </w:p>
    <w:p w14:paraId="435327E4" w14:textId="7C4A04BA" w:rsidR="00B00778" w:rsidRDefault="00B00778" w:rsidP="009433ED">
      <w:pPr>
        <w:jc w:val="both"/>
      </w:pPr>
      <w:r>
        <w:t xml:space="preserve">3.3.4.1 </w:t>
      </w:r>
      <w:r w:rsidRPr="0018273E">
        <w:rPr>
          <w:i/>
        </w:rPr>
        <w:t>AFA</w:t>
      </w:r>
      <w:r>
        <w:t xml:space="preserve"> turėtų būti aprašyti išorinės aplinkos faktoriai, kurie gali turėti potencialios įtakos naujų sutarčių pelningumui (įskaitant atnaujinamas sutartis). Tokių faktorių pavyzdžiai gali būti inf</w:t>
      </w:r>
      <w:r w:rsidR="0018273E">
        <w:t xml:space="preserve">liacija, teisinė rizika, rinkos, kurioje veikia </w:t>
      </w:r>
      <w:r w:rsidR="0018273E" w:rsidRPr="0018273E">
        <w:rPr>
          <w:i/>
        </w:rPr>
        <w:t>įmonė</w:t>
      </w:r>
      <w:r w:rsidR="0018273E">
        <w:t xml:space="preserve">, </w:t>
      </w:r>
      <w:r>
        <w:t xml:space="preserve">pokyčiai, kurie gali paveikti verslo apimtis ir portfelio sudėtį. </w:t>
      </w:r>
    </w:p>
    <w:p w14:paraId="7F5DE68B" w14:textId="2EEA11AA" w:rsidR="00B00778" w:rsidRPr="00B00778" w:rsidRDefault="00B00778" w:rsidP="009433ED">
      <w:pPr>
        <w:jc w:val="both"/>
        <w:rPr>
          <w:b/>
        </w:rPr>
      </w:pPr>
      <w:r w:rsidRPr="00B00778">
        <w:rPr>
          <w:b/>
        </w:rPr>
        <w:t>3.3.5 Įmokų pataisos</w:t>
      </w:r>
    </w:p>
    <w:p w14:paraId="64B46DA3" w14:textId="1CB4DCA3" w:rsidR="00B00778" w:rsidRDefault="005621EF" w:rsidP="009433ED">
      <w:pPr>
        <w:jc w:val="both"/>
      </w:pPr>
      <w:r>
        <w:t xml:space="preserve">3.3.5.1 </w:t>
      </w:r>
      <w:r w:rsidR="00C23ABA" w:rsidRPr="0018273E">
        <w:rPr>
          <w:i/>
        </w:rPr>
        <w:t>AFA</w:t>
      </w:r>
      <w:r w:rsidR="00C23ABA">
        <w:t xml:space="preserve"> turi </w:t>
      </w:r>
      <w:r w:rsidR="008F4920">
        <w:t xml:space="preserve">būti </w:t>
      </w:r>
      <w:r w:rsidR="00C23ABA">
        <w:t>pakomentuot</w:t>
      </w:r>
      <w:r w:rsidR="00085511">
        <w:t>a</w:t>
      </w:r>
      <w:r w:rsidR="00C23ABA">
        <w:t>, kokį efektą įmokoms gali turėti jų koregavimas pagal žalų istoriją (</w:t>
      </w:r>
      <w:proofErr w:type="spellStart"/>
      <w:r w:rsidR="00C23ABA">
        <w:t>bonus-malus</w:t>
      </w:r>
      <w:proofErr w:type="spellEnd"/>
      <w:r w:rsidR="00C23ABA">
        <w:t xml:space="preserve"> sistema) ar homogeniškoms rizikoms grupėms taikomas analogiškas sistemas, jei analizuojamų produktų </w:t>
      </w:r>
      <w:r>
        <w:t xml:space="preserve">įmokos gali būti koreguojamos pagal patirtį. </w:t>
      </w:r>
    </w:p>
    <w:p w14:paraId="1104053E" w14:textId="342AD7E6" w:rsidR="00EC3200" w:rsidRPr="00EC3200" w:rsidRDefault="00EC3200" w:rsidP="009433ED">
      <w:pPr>
        <w:jc w:val="both"/>
        <w:rPr>
          <w:b/>
        </w:rPr>
      </w:pPr>
      <w:r w:rsidRPr="00EC3200">
        <w:rPr>
          <w:b/>
        </w:rPr>
        <w:t>3.3.6 Neigiama atranka</w:t>
      </w:r>
    </w:p>
    <w:p w14:paraId="6AA9698B" w14:textId="276410DD" w:rsidR="00EC3200" w:rsidRDefault="00EC3200" w:rsidP="009433ED">
      <w:pPr>
        <w:jc w:val="both"/>
      </w:pPr>
      <w:r>
        <w:t xml:space="preserve">3.3.6.1 </w:t>
      </w:r>
      <w:r w:rsidRPr="0018273E">
        <w:rPr>
          <w:i/>
        </w:rPr>
        <w:t>AFA</w:t>
      </w:r>
      <w:r>
        <w:t xml:space="preserve"> privalo būti įtraukta </w:t>
      </w:r>
      <w:r w:rsidRPr="0018273E">
        <w:rPr>
          <w:i/>
        </w:rPr>
        <w:t>AF</w:t>
      </w:r>
      <w:r>
        <w:t xml:space="preserve"> išvada dėl neigiamos </w:t>
      </w:r>
      <w:r w:rsidR="0018273E">
        <w:t>atrankos</w:t>
      </w:r>
      <w:r>
        <w:t xml:space="preserve"> (</w:t>
      </w:r>
      <w:r w:rsidR="000D3282" w:rsidRPr="000D3282">
        <w:rPr>
          <w:i/>
        </w:rPr>
        <w:t xml:space="preserve">angl. </w:t>
      </w:r>
      <w:proofErr w:type="spellStart"/>
      <w:r w:rsidRPr="000D3282">
        <w:rPr>
          <w:i/>
        </w:rPr>
        <w:t>anti-selection</w:t>
      </w:r>
      <w:r>
        <w:t>)</w:t>
      </w:r>
      <w:proofErr w:type="spellEnd"/>
      <w:r>
        <w:t xml:space="preserve"> </w:t>
      </w:r>
      <w:r w:rsidR="0018273E" w:rsidRPr="0018273E">
        <w:rPr>
          <w:i/>
        </w:rPr>
        <w:t>įmonės</w:t>
      </w:r>
      <w:r w:rsidR="0018273E">
        <w:t xml:space="preserve"> portfelyje </w:t>
      </w:r>
      <w:r>
        <w:t xml:space="preserve">rizikos įtakos, jei tokios rizikos galėtų turėti neigiamą poveikį </w:t>
      </w:r>
      <w:r w:rsidRPr="00EC3200">
        <w:rPr>
          <w:i/>
        </w:rPr>
        <w:t>techniniams atidėjiniams</w:t>
      </w:r>
      <w:r>
        <w:t xml:space="preserve"> ar </w:t>
      </w:r>
      <w:r w:rsidRPr="0018273E">
        <w:t>įmokų pakankamumui</w:t>
      </w:r>
      <w:r>
        <w:t xml:space="preserve">. </w:t>
      </w:r>
      <w:r w:rsidRPr="0018273E">
        <w:rPr>
          <w:i/>
        </w:rPr>
        <w:t>AFA</w:t>
      </w:r>
      <w:r>
        <w:t xml:space="preserve"> turėtų būti pateiktos </w:t>
      </w:r>
      <w:r w:rsidRPr="0018273E">
        <w:rPr>
          <w:i/>
        </w:rPr>
        <w:t>AF</w:t>
      </w:r>
      <w:r>
        <w:t xml:space="preserve"> rekomendacijos dėl </w:t>
      </w:r>
      <w:r w:rsidRPr="0018273E">
        <w:rPr>
          <w:i/>
        </w:rPr>
        <w:t>rizik</w:t>
      </w:r>
      <w:r w:rsidR="006B12B4">
        <w:rPr>
          <w:i/>
        </w:rPr>
        <w:t>os</w:t>
      </w:r>
      <w:r w:rsidRPr="0018273E">
        <w:rPr>
          <w:i/>
        </w:rPr>
        <w:t xml:space="preserve"> </w:t>
      </w:r>
      <w:r w:rsidR="0018273E" w:rsidRPr="0018273E">
        <w:rPr>
          <w:i/>
        </w:rPr>
        <w:t>prisiėmimo</w:t>
      </w:r>
      <w:r>
        <w:t xml:space="preserve"> politikos pataisų, jei tai padėtų sumažinti šias rizikas.</w:t>
      </w:r>
    </w:p>
    <w:p w14:paraId="747F79EE" w14:textId="618115B0" w:rsidR="00AF3CAE" w:rsidRPr="001F3976" w:rsidRDefault="00AF3CAE" w:rsidP="009433ED">
      <w:pPr>
        <w:jc w:val="both"/>
        <w:rPr>
          <w:b/>
        </w:rPr>
      </w:pPr>
      <w:r w:rsidRPr="001F3976">
        <w:rPr>
          <w:b/>
        </w:rPr>
        <w:t>3.3.7 Sąsajos</w:t>
      </w:r>
      <w:r w:rsidR="0018273E">
        <w:rPr>
          <w:b/>
        </w:rPr>
        <w:t xml:space="preserve"> su kitomis politikomis</w:t>
      </w:r>
    </w:p>
    <w:p w14:paraId="57AA533C" w14:textId="354E4E4F" w:rsidR="00AF3CAE" w:rsidRDefault="00AF3CAE" w:rsidP="009433ED">
      <w:pPr>
        <w:jc w:val="both"/>
      </w:pPr>
      <w:r>
        <w:t xml:space="preserve">3.3.7.1 </w:t>
      </w:r>
      <w:r w:rsidRPr="0018273E">
        <w:rPr>
          <w:i/>
        </w:rPr>
        <w:t>AFA</w:t>
      </w:r>
      <w:r>
        <w:t xml:space="preserve"> turėtų būti nurodyta</w:t>
      </w:r>
      <w:r w:rsidR="00EB2409">
        <w:t>,</w:t>
      </w:r>
      <w:r>
        <w:t xml:space="preserve"> kokiu mastu bendra </w:t>
      </w:r>
      <w:r w:rsidR="0018273E" w:rsidRPr="0018273E">
        <w:rPr>
          <w:i/>
        </w:rPr>
        <w:t xml:space="preserve">įmonės </w:t>
      </w:r>
      <w:r w:rsidRPr="0018273E">
        <w:rPr>
          <w:i/>
        </w:rPr>
        <w:t>rizik</w:t>
      </w:r>
      <w:r w:rsidR="006B12B4">
        <w:rPr>
          <w:i/>
        </w:rPr>
        <w:t>os</w:t>
      </w:r>
      <w:r w:rsidRPr="0018273E">
        <w:rPr>
          <w:i/>
        </w:rPr>
        <w:t xml:space="preserve"> </w:t>
      </w:r>
      <w:r w:rsidR="0018273E" w:rsidRPr="0018273E">
        <w:rPr>
          <w:i/>
        </w:rPr>
        <w:t>prisiėmimo</w:t>
      </w:r>
      <w:r>
        <w:t xml:space="preserve"> politika nesuderinama su kitomis </w:t>
      </w:r>
      <w:r w:rsidRPr="0018273E">
        <w:rPr>
          <w:i/>
        </w:rPr>
        <w:t>įmonės</w:t>
      </w:r>
      <w:r>
        <w:t xml:space="preserve"> politikomis.</w:t>
      </w:r>
    </w:p>
    <w:p w14:paraId="38439BE5" w14:textId="1B97A9B4" w:rsidR="00AF3CAE" w:rsidRPr="00371632" w:rsidRDefault="00AF3CAE" w:rsidP="009433ED">
      <w:pPr>
        <w:jc w:val="both"/>
      </w:pPr>
      <w:r>
        <w:t xml:space="preserve">3.3.7.2 Tai turėtų </w:t>
      </w:r>
      <w:r w:rsidR="0018273E">
        <w:t xml:space="preserve">apimti </w:t>
      </w:r>
      <w:r>
        <w:t xml:space="preserve">bent jau suderinamumą su </w:t>
      </w:r>
      <w:r w:rsidR="00B230D0" w:rsidRPr="00B230D0">
        <w:rPr>
          <w:i/>
        </w:rPr>
        <w:t>įmonės</w:t>
      </w:r>
      <w:r w:rsidR="00B230D0">
        <w:t xml:space="preserve"> </w:t>
      </w:r>
      <w:r>
        <w:t xml:space="preserve">rizikos apetitu, perdraudimo sutartimis ir </w:t>
      </w:r>
      <w:r w:rsidRPr="00AF3CAE">
        <w:rPr>
          <w:i/>
        </w:rPr>
        <w:t>techniniais atidėjiniais</w:t>
      </w:r>
      <w:r>
        <w:t>.</w:t>
      </w:r>
    </w:p>
    <w:p w14:paraId="381B1C1E" w14:textId="77777777" w:rsidR="00537A01" w:rsidRDefault="00537A01" w:rsidP="009433ED">
      <w:pPr>
        <w:jc w:val="both"/>
        <w:rPr>
          <w:lang w:val="en-US"/>
        </w:rPr>
      </w:pPr>
    </w:p>
    <w:p w14:paraId="103DFABA" w14:textId="2079C084" w:rsidR="00537A01" w:rsidRPr="000D3282" w:rsidRDefault="00537A01" w:rsidP="009433ED">
      <w:pPr>
        <w:jc w:val="both"/>
        <w:rPr>
          <w:b/>
        </w:rPr>
      </w:pPr>
      <w:r w:rsidRPr="005A6346">
        <w:rPr>
          <w:b/>
          <w:lang w:val="en-US"/>
        </w:rPr>
        <w:t xml:space="preserve">3.4 </w:t>
      </w:r>
      <w:r w:rsidRPr="000D3282">
        <w:rPr>
          <w:b/>
        </w:rPr>
        <w:t xml:space="preserve">Nuomonė </w:t>
      </w:r>
      <w:r w:rsidR="005A6346" w:rsidRPr="000D3282">
        <w:rPr>
          <w:b/>
        </w:rPr>
        <w:t>apie</w:t>
      </w:r>
      <w:r w:rsidRPr="000D3282">
        <w:rPr>
          <w:b/>
        </w:rPr>
        <w:t xml:space="preserve"> perdraudimo sutar</w:t>
      </w:r>
      <w:r w:rsidR="005A6346" w:rsidRPr="000D3282">
        <w:rPr>
          <w:b/>
        </w:rPr>
        <w:t>tis</w:t>
      </w:r>
    </w:p>
    <w:p w14:paraId="6A8DCC2E" w14:textId="1C69C941" w:rsidR="005A6346" w:rsidRPr="000D3282" w:rsidRDefault="005A6346" w:rsidP="009433ED">
      <w:pPr>
        <w:jc w:val="both"/>
        <w:rPr>
          <w:b/>
        </w:rPr>
      </w:pPr>
      <w:r w:rsidRPr="000D3282">
        <w:rPr>
          <w:b/>
        </w:rPr>
        <w:t>3.4.1 Nuomonė dėl perdraudimo sutarčių tinkamumo</w:t>
      </w:r>
    </w:p>
    <w:p w14:paraId="2E736801" w14:textId="2561E1B9" w:rsidR="005A6346" w:rsidRPr="000D3282" w:rsidRDefault="0088173F" w:rsidP="009433ED">
      <w:pPr>
        <w:jc w:val="both"/>
      </w:pPr>
      <w:r w:rsidRPr="000D3282">
        <w:t xml:space="preserve">3.4.1.1 </w:t>
      </w:r>
      <w:r w:rsidRPr="000D3282">
        <w:rPr>
          <w:i/>
        </w:rPr>
        <w:t>AFA</w:t>
      </w:r>
      <w:r w:rsidRPr="000D3282">
        <w:t xml:space="preserve"> privalo </w:t>
      </w:r>
      <w:r w:rsidR="00085511" w:rsidRPr="000D3282">
        <w:t xml:space="preserve">būti </w:t>
      </w:r>
      <w:r w:rsidRPr="000D3282">
        <w:t>pareikšt</w:t>
      </w:r>
      <w:r w:rsidR="00085511" w:rsidRPr="000D3282">
        <w:t>a</w:t>
      </w:r>
      <w:r w:rsidRPr="000D3282">
        <w:t xml:space="preserve"> nuomon</w:t>
      </w:r>
      <w:r w:rsidR="00085511" w:rsidRPr="000D3282">
        <w:t>ė</w:t>
      </w:r>
      <w:r w:rsidRPr="000D3282">
        <w:t xml:space="preserve"> </w:t>
      </w:r>
      <w:r w:rsidR="000D3282">
        <w:t xml:space="preserve">apie </w:t>
      </w:r>
      <w:r w:rsidRPr="000D3282">
        <w:t>perdraudimo sutarčių tinkamum</w:t>
      </w:r>
      <w:r w:rsidR="00624C8B">
        <w:t>ą</w:t>
      </w:r>
      <w:r w:rsidRPr="000D3282">
        <w:t>.</w:t>
      </w:r>
    </w:p>
    <w:p w14:paraId="4437D1DC" w14:textId="3542999E" w:rsidR="00627532" w:rsidRPr="008E46C0" w:rsidRDefault="00627532" w:rsidP="009433ED">
      <w:pPr>
        <w:jc w:val="both"/>
      </w:pPr>
      <w:r w:rsidRPr="000D3282">
        <w:t xml:space="preserve">3.4.1.2 </w:t>
      </w:r>
      <w:r w:rsidRPr="000D3282">
        <w:rPr>
          <w:i/>
        </w:rPr>
        <w:t>AFA</w:t>
      </w:r>
      <w:r w:rsidRPr="000D3282">
        <w:t xml:space="preserve"> turėtų </w:t>
      </w:r>
      <w:r w:rsidR="00085511" w:rsidRPr="000D3282">
        <w:t>būti pateiktos</w:t>
      </w:r>
      <w:r w:rsidRPr="000D3282">
        <w:t xml:space="preserve"> </w:t>
      </w:r>
      <w:r w:rsidR="00085511" w:rsidRPr="000D3282">
        <w:t>visos abejonės</w:t>
      </w:r>
      <w:r w:rsidRPr="000D3282">
        <w:t>, kurias gali turėti</w:t>
      </w:r>
      <w:r w:rsidR="00085511" w:rsidRPr="000D3282">
        <w:t xml:space="preserve"> </w:t>
      </w:r>
      <w:r w:rsidR="00085511" w:rsidRPr="000D3282">
        <w:rPr>
          <w:i/>
        </w:rPr>
        <w:t>AF</w:t>
      </w:r>
      <w:r w:rsidRPr="000D3282">
        <w:t xml:space="preserve"> dėl perdraudimo sutarčių tinkamumo.</w:t>
      </w:r>
    </w:p>
    <w:p w14:paraId="6287E907" w14:textId="1FC71169" w:rsidR="00627532" w:rsidRDefault="00627532" w:rsidP="009433ED">
      <w:pPr>
        <w:jc w:val="both"/>
      </w:pPr>
      <w:r w:rsidRPr="000D3282">
        <w:t xml:space="preserve">3.4.1.3 Jeigu </w:t>
      </w:r>
      <w:r w:rsidRPr="000D3282">
        <w:rPr>
          <w:i/>
        </w:rPr>
        <w:t>AF</w:t>
      </w:r>
      <w:r w:rsidRPr="000D3282">
        <w:t xml:space="preserve"> nustato </w:t>
      </w:r>
      <w:r w:rsidR="000D3282" w:rsidRPr="000D3282">
        <w:t>trūkum</w:t>
      </w:r>
      <w:r w:rsidR="000D3282">
        <w:t>us</w:t>
      </w:r>
      <w:r w:rsidRPr="000D3282">
        <w:t>,</w:t>
      </w:r>
      <w:r w:rsidR="000D3282">
        <w:t xml:space="preserve"> tai </w:t>
      </w:r>
      <w:r w:rsidRPr="000D3282">
        <w:rPr>
          <w:i/>
        </w:rPr>
        <w:t>AFA</w:t>
      </w:r>
      <w:r w:rsidRPr="000D3282">
        <w:t xml:space="preserve"> turėtų </w:t>
      </w:r>
      <w:r w:rsidR="00085511" w:rsidRPr="000D3282">
        <w:t xml:space="preserve">būti </w:t>
      </w:r>
      <w:r w:rsidRPr="000D3282">
        <w:t>pateikt</w:t>
      </w:r>
      <w:r w:rsidR="00085511" w:rsidRPr="000D3282">
        <w:t>os</w:t>
      </w:r>
      <w:r w:rsidRPr="000D3282">
        <w:t xml:space="preserve"> rekomendacij</w:t>
      </w:r>
      <w:r w:rsidR="00085511" w:rsidRPr="000D3282">
        <w:t>o</w:t>
      </w:r>
      <w:r w:rsidRPr="000D3282">
        <w:t xml:space="preserve">s </w:t>
      </w:r>
      <w:r w:rsidR="006E28E1" w:rsidRPr="000D3282">
        <w:t xml:space="preserve">ir </w:t>
      </w:r>
      <w:r w:rsidR="00085511" w:rsidRPr="000D3282">
        <w:t>veiksmai</w:t>
      </w:r>
      <w:r w:rsidR="006E28E1" w:rsidRPr="000D3282">
        <w:t>, kurių reik</w:t>
      </w:r>
      <w:r w:rsidR="00085511" w:rsidRPr="000D3282">
        <w:t>ė</w:t>
      </w:r>
      <w:r w:rsidR="006E28E1" w:rsidRPr="000D3282">
        <w:t xml:space="preserve">tų imtis, </w:t>
      </w:r>
      <w:r w:rsidR="002B2A82" w:rsidRPr="000D3282">
        <w:t>siekiant</w:t>
      </w:r>
      <w:r w:rsidR="00085511" w:rsidRPr="000D3282">
        <w:t xml:space="preserve"> </w:t>
      </w:r>
      <w:r w:rsidRPr="000D3282">
        <w:t xml:space="preserve">pagerinti </w:t>
      </w:r>
      <w:r w:rsidR="006E28E1" w:rsidRPr="000D3282">
        <w:t>perdraudimo sutartis</w:t>
      </w:r>
      <w:r w:rsidR="006E28E1">
        <w:t>:</w:t>
      </w:r>
    </w:p>
    <w:p w14:paraId="2DB51555" w14:textId="01C49E39" w:rsidR="006E28E1" w:rsidRDefault="006E28E1" w:rsidP="009433ED">
      <w:pPr>
        <w:jc w:val="both"/>
      </w:pPr>
      <w:r>
        <w:t>- pašalinti per</w:t>
      </w:r>
      <w:r w:rsidR="00085511">
        <w:t>si</w:t>
      </w:r>
      <w:r>
        <w:t xml:space="preserve">draudimo </w:t>
      </w:r>
      <w:r w:rsidR="00085511">
        <w:t>nesuderinamum</w:t>
      </w:r>
      <w:r w:rsidR="002B2A82">
        <w:t>us</w:t>
      </w:r>
      <w:r w:rsidR="005D3420">
        <w:t>,</w:t>
      </w:r>
    </w:p>
    <w:p w14:paraId="7E665F83" w14:textId="6012EC80" w:rsidR="006E28E1" w:rsidRDefault="006E28E1" w:rsidP="009433ED">
      <w:pPr>
        <w:jc w:val="both"/>
      </w:pPr>
      <w:r w:rsidRPr="00085511">
        <w:t xml:space="preserve">- </w:t>
      </w:r>
      <w:r w:rsidR="008B1DF5" w:rsidRPr="00085511">
        <w:t>sumažinti</w:t>
      </w:r>
      <w:r w:rsidR="002B2A82">
        <w:t xml:space="preserve"> </w:t>
      </w:r>
      <w:proofErr w:type="spellStart"/>
      <w:r w:rsidR="002B2A82" w:rsidRPr="00085511">
        <w:t>perdraud</w:t>
      </w:r>
      <w:r w:rsidR="002B2A82">
        <w:t>iko</w:t>
      </w:r>
      <w:proofErr w:type="spellEnd"/>
      <w:r w:rsidR="002B2A82" w:rsidRPr="00085511">
        <w:t xml:space="preserve"> sandori</w:t>
      </w:r>
      <w:r w:rsidR="002B2A82">
        <w:t>o</w:t>
      </w:r>
      <w:r w:rsidR="002B2A82" w:rsidRPr="00085511">
        <w:t xml:space="preserve"> šali</w:t>
      </w:r>
      <w:r w:rsidR="002B2A82">
        <w:t>es įsipareigojimo</w:t>
      </w:r>
      <w:r w:rsidR="002B2A82" w:rsidRPr="00085511">
        <w:t xml:space="preserve"> </w:t>
      </w:r>
      <w:r w:rsidR="008B1DF5" w:rsidRPr="00085511">
        <w:t>nevykdymo riziką</w:t>
      </w:r>
      <w:r w:rsidR="005D3420">
        <w:t>,</w:t>
      </w:r>
    </w:p>
    <w:p w14:paraId="59C64C45" w14:textId="2F23775D" w:rsidR="008B1DF5" w:rsidRDefault="008B1DF5" w:rsidP="009433ED">
      <w:pPr>
        <w:jc w:val="both"/>
      </w:pPr>
      <w:r>
        <w:lastRenderedPageBreak/>
        <w:t>- praplėsti reikšmingų rizikų apsaugą.</w:t>
      </w:r>
    </w:p>
    <w:p w14:paraId="7EA706A5" w14:textId="488B6A1E" w:rsidR="008B1DF5" w:rsidRPr="008B1DF5" w:rsidRDefault="008B1DF5" w:rsidP="009433ED">
      <w:pPr>
        <w:jc w:val="both"/>
      </w:pPr>
      <w:r>
        <w:rPr>
          <w:lang w:val="en-US"/>
        </w:rPr>
        <w:t xml:space="preserve">3.4.1.4 </w:t>
      </w:r>
      <w:r w:rsidRPr="00B31555">
        <w:rPr>
          <w:i/>
          <w:lang w:val="en-US"/>
        </w:rPr>
        <w:t>AFA</w:t>
      </w:r>
      <w:r>
        <w:rPr>
          <w:lang w:val="en-US"/>
        </w:rPr>
        <w:t xml:space="preserve"> </w:t>
      </w:r>
      <w:r w:rsidRPr="000D3282">
        <w:t>turėtų</w:t>
      </w:r>
      <w:r>
        <w:t xml:space="preserve"> </w:t>
      </w:r>
      <w:r w:rsidR="00B31555">
        <w:t xml:space="preserve">būti </w:t>
      </w:r>
      <w:r>
        <w:t>nurodyt</w:t>
      </w:r>
      <w:r w:rsidR="00B31555">
        <w:t>a</w:t>
      </w:r>
      <w:r w:rsidR="00EB2409">
        <w:t>,</w:t>
      </w:r>
      <w:r>
        <w:t xml:space="preserve"> </w:t>
      </w:r>
      <w:r w:rsidR="00B31555">
        <w:t xml:space="preserve">kas </w:t>
      </w:r>
      <w:r w:rsidRPr="00B31555">
        <w:rPr>
          <w:i/>
        </w:rPr>
        <w:t>AF</w:t>
      </w:r>
      <w:r>
        <w:t xml:space="preserve"> </w:t>
      </w:r>
      <w:r w:rsidR="00B31555">
        <w:t>darė įtaką pareiškiant tokią</w:t>
      </w:r>
      <w:r>
        <w:t xml:space="preserve"> nuomonę.</w:t>
      </w:r>
    </w:p>
    <w:p w14:paraId="05FA66AF" w14:textId="2772CEE7" w:rsidR="001F3976" w:rsidRPr="001F3976" w:rsidRDefault="001F3976" w:rsidP="009433ED">
      <w:pPr>
        <w:jc w:val="both"/>
        <w:rPr>
          <w:b/>
        </w:rPr>
      </w:pPr>
      <w:r w:rsidRPr="001F3976">
        <w:rPr>
          <w:b/>
        </w:rPr>
        <w:t>3.</w:t>
      </w:r>
      <w:r>
        <w:rPr>
          <w:b/>
          <w:lang w:val="en-US"/>
        </w:rPr>
        <w:t>4</w:t>
      </w:r>
      <w:r w:rsidRPr="001F3976">
        <w:rPr>
          <w:b/>
        </w:rPr>
        <w:t>.</w:t>
      </w:r>
      <w:r>
        <w:rPr>
          <w:b/>
        </w:rPr>
        <w:t>2</w:t>
      </w:r>
      <w:r w:rsidR="005D3420">
        <w:rPr>
          <w:b/>
        </w:rPr>
        <w:t xml:space="preserve"> Savitarpio santykiai</w:t>
      </w:r>
    </w:p>
    <w:p w14:paraId="4A2E799F" w14:textId="7A782AC3" w:rsidR="008B1DF5" w:rsidRDefault="001F3976" w:rsidP="009433ED">
      <w:pPr>
        <w:jc w:val="both"/>
      </w:pPr>
      <w:r>
        <w:rPr>
          <w:lang w:val="en-US"/>
        </w:rPr>
        <w:t xml:space="preserve">3.4.2.1 </w:t>
      </w:r>
      <w:r w:rsidR="00105DB9">
        <w:rPr>
          <w:lang w:val="en-US"/>
        </w:rPr>
        <w:t>AFA t</w:t>
      </w:r>
      <w:r w:rsidR="00105DB9">
        <w:t xml:space="preserve">urėtų </w:t>
      </w:r>
      <w:r w:rsidR="00B31555">
        <w:t xml:space="preserve">būti </w:t>
      </w:r>
      <w:r w:rsidR="005071B1">
        <w:t>nurodyt</w:t>
      </w:r>
      <w:r w:rsidR="00B31555">
        <w:t>a</w:t>
      </w:r>
      <w:r w:rsidR="005071B1">
        <w:t xml:space="preserve">, kokiu mastu </w:t>
      </w:r>
      <w:r w:rsidR="005071B1" w:rsidRPr="005D3420">
        <w:rPr>
          <w:i/>
        </w:rPr>
        <w:t>įmonės</w:t>
      </w:r>
      <w:r w:rsidR="005071B1">
        <w:t xml:space="preserve"> perdraudimo sutartys nėra suderinamos su </w:t>
      </w:r>
      <w:r w:rsidR="005071B1" w:rsidRPr="00B31555">
        <w:rPr>
          <w:i/>
        </w:rPr>
        <w:t>įmonės</w:t>
      </w:r>
      <w:r w:rsidR="005071B1">
        <w:t>:</w:t>
      </w:r>
    </w:p>
    <w:p w14:paraId="2DA13C84" w14:textId="6F0D798B" w:rsidR="005071B1" w:rsidRDefault="005071B1" w:rsidP="009433ED">
      <w:pPr>
        <w:jc w:val="both"/>
      </w:pPr>
      <w:r>
        <w:t>- rizikos apetitu</w:t>
      </w:r>
      <w:r w:rsidR="005D3420">
        <w:t>,</w:t>
      </w:r>
    </w:p>
    <w:p w14:paraId="268EEE38" w14:textId="61F8E1A4" w:rsidR="005071B1" w:rsidRDefault="005071B1" w:rsidP="009433ED">
      <w:pPr>
        <w:jc w:val="both"/>
      </w:pPr>
      <w:r>
        <w:t xml:space="preserve">- </w:t>
      </w:r>
      <w:r w:rsidR="00B31555">
        <w:t xml:space="preserve">rizikos </w:t>
      </w:r>
      <w:r w:rsidR="0018273E">
        <w:t>prisiėmimo</w:t>
      </w:r>
      <w:r>
        <w:t xml:space="preserve"> politika</w:t>
      </w:r>
      <w:r w:rsidR="005D3420">
        <w:t>,</w:t>
      </w:r>
    </w:p>
    <w:p w14:paraId="56C516BC" w14:textId="31ADB9E6" w:rsidR="005071B1" w:rsidRDefault="005071B1" w:rsidP="009433ED">
      <w:pPr>
        <w:jc w:val="both"/>
      </w:pPr>
      <w:r>
        <w:t>- techniniais atidėjiniais,</w:t>
      </w:r>
    </w:p>
    <w:p w14:paraId="53D87282" w14:textId="12BBF644" w:rsidR="005071B1" w:rsidRDefault="005071B1" w:rsidP="009433ED">
      <w:pPr>
        <w:jc w:val="both"/>
      </w:pPr>
      <w:r>
        <w:t xml:space="preserve">ir </w:t>
      </w:r>
      <w:r w:rsidR="001643A4">
        <w:t>pateiktos rekomendacijos</w:t>
      </w:r>
      <w:r w:rsidR="00EB2409">
        <w:t>,</w:t>
      </w:r>
      <w:r w:rsidR="001643A4">
        <w:t xml:space="preserve"> </w:t>
      </w:r>
      <w:r>
        <w:t>kaip reik</w:t>
      </w:r>
      <w:r w:rsidR="005D3420">
        <w:t>ė</w:t>
      </w:r>
      <w:r>
        <w:t>tų pašalinti bet kokius neatitikimus.</w:t>
      </w:r>
    </w:p>
    <w:p w14:paraId="64A9C64F" w14:textId="11FF3BBB" w:rsidR="001F3976" w:rsidRDefault="001F3976" w:rsidP="009433ED">
      <w:pPr>
        <w:jc w:val="both"/>
        <w:rPr>
          <w:lang w:val="en-US"/>
        </w:rPr>
      </w:pPr>
      <w:r>
        <w:rPr>
          <w:lang w:val="en-US"/>
        </w:rPr>
        <w:t>3.4.2.</w:t>
      </w:r>
      <w:r w:rsidRPr="005D3420">
        <w:t>2</w:t>
      </w:r>
      <w:r w:rsidR="005D68F6" w:rsidRPr="005D3420">
        <w:t xml:space="preserve"> </w:t>
      </w:r>
      <w:r w:rsidR="0057615D" w:rsidRPr="00624C8B">
        <w:rPr>
          <w:i/>
        </w:rPr>
        <w:t>AF</w:t>
      </w:r>
      <w:r w:rsidR="0057615D" w:rsidRPr="005D3420">
        <w:t xml:space="preserve"> k</w:t>
      </w:r>
      <w:r w:rsidR="005D68F6" w:rsidRPr="005D3420">
        <w:t>omentaras</w:t>
      </w:r>
      <w:r w:rsidR="005D3420" w:rsidRPr="005D3420">
        <w:t xml:space="preserve"> apie savitarpio santykius</w:t>
      </w:r>
      <w:r w:rsidR="005D68F6" w:rsidRPr="005D3420">
        <w:t xml:space="preserve"> </w:t>
      </w:r>
      <w:r w:rsidR="005D3420" w:rsidRPr="005D3420">
        <w:t>turėtų apimti</w:t>
      </w:r>
      <w:r w:rsidR="005D68F6" w:rsidRPr="005D3420">
        <w:t xml:space="preserve"> </w:t>
      </w:r>
      <w:proofErr w:type="spellStart"/>
      <w:r w:rsidR="005D3420" w:rsidRPr="005D3420">
        <w:t>perdraudiko</w:t>
      </w:r>
      <w:proofErr w:type="spellEnd"/>
      <w:r w:rsidR="005D3420" w:rsidRPr="005D3420">
        <w:t xml:space="preserve"> </w:t>
      </w:r>
      <w:r w:rsidR="005D68F6" w:rsidRPr="005D3420">
        <w:t>kredit</w:t>
      </w:r>
      <w:r w:rsidR="005D3420" w:rsidRPr="005D3420">
        <w:t>ingumo</w:t>
      </w:r>
      <w:r w:rsidR="005D68F6" w:rsidRPr="005D3420">
        <w:t xml:space="preserve"> vertinimą.</w:t>
      </w:r>
    </w:p>
    <w:p w14:paraId="3527EC47" w14:textId="63694EA1" w:rsidR="00790DE6" w:rsidRPr="00A6733E" w:rsidRDefault="00790DE6" w:rsidP="009433ED">
      <w:pPr>
        <w:jc w:val="both"/>
        <w:rPr>
          <w:b/>
        </w:rPr>
      </w:pPr>
      <w:r w:rsidRPr="00A6733E">
        <w:rPr>
          <w:b/>
        </w:rPr>
        <w:t xml:space="preserve">3.4.3 Perdraudimo sutarčių veiksmingumas </w:t>
      </w:r>
    </w:p>
    <w:p w14:paraId="57A020C1" w14:textId="04489114" w:rsidR="00790DE6" w:rsidRDefault="00790DE6" w:rsidP="009433ED">
      <w:pPr>
        <w:jc w:val="both"/>
      </w:pPr>
      <w:r>
        <w:t xml:space="preserve">3.4.3.1 </w:t>
      </w:r>
      <w:r w:rsidRPr="00624C8B">
        <w:rPr>
          <w:i/>
        </w:rPr>
        <w:t>AFA</w:t>
      </w:r>
      <w:r>
        <w:t xml:space="preserve"> turėtų </w:t>
      </w:r>
      <w:r w:rsidR="005D3420">
        <w:t xml:space="preserve">būti apžvelgtas </w:t>
      </w:r>
      <w:r>
        <w:t xml:space="preserve">perdraudimo sutarčių, įskaitant </w:t>
      </w:r>
      <w:r w:rsidR="005D3420" w:rsidRPr="00624C8B">
        <w:rPr>
          <w:i/>
        </w:rPr>
        <w:t>SPĮ</w:t>
      </w:r>
      <w:r>
        <w:t>, jautrum</w:t>
      </w:r>
      <w:r w:rsidR="00EB2409">
        <w:t>o</w:t>
      </w:r>
      <w:r>
        <w:t xml:space="preserve"> įvairiems nepalankiems scenarijams</w:t>
      </w:r>
      <w:r w:rsidR="005D3420">
        <w:t xml:space="preserve"> vertinimas</w:t>
      </w:r>
      <w:r>
        <w:t xml:space="preserve"> arba </w:t>
      </w:r>
      <w:r w:rsidR="005D3420">
        <w:t xml:space="preserve">pateikta nuoroda </w:t>
      </w:r>
      <w:r>
        <w:t xml:space="preserve">į tokios analizės rezultatus </w:t>
      </w:r>
      <w:r w:rsidRPr="00624C8B">
        <w:rPr>
          <w:i/>
        </w:rPr>
        <w:t>SRMV</w:t>
      </w:r>
      <w:r>
        <w:t xml:space="preserve"> ataskaitoje. Galimų scenarijų pavyzdžiai:</w:t>
      </w:r>
    </w:p>
    <w:p w14:paraId="35157876" w14:textId="227B10FC" w:rsidR="00790DE6" w:rsidRDefault="00790DE6" w:rsidP="009433ED">
      <w:pPr>
        <w:jc w:val="both"/>
      </w:pPr>
      <w:r>
        <w:t xml:space="preserve"> - įvykusi katastrofinė žala</w:t>
      </w:r>
      <w:r w:rsidR="005D3420">
        <w:t>,</w:t>
      </w:r>
    </w:p>
    <w:p w14:paraId="13BB135F" w14:textId="6EF24BF5" w:rsidR="00790DE6" w:rsidRDefault="00790DE6" w:rsidP="009433ED">
      <w:pPr>
        <w:jc w:val="both"/>
      </w:pPr>
      <w:r>
        <w:t xml:space="preserve">- rizikų </w:t>
      </w:r>
      <w:r w:rsidR="005D3420">
        <w:t>agregavimas,</w:t>
      </w:r>
    </w:p>
    <w:p w14:paraId="0AE2E873" w14:textId="09CC1871" w:rsidR="00790DE6" w:rsidRDefault="00790DE6" w:rsidP="009433ED">
      <w:pPr>
        <w:jc w:val="both"/>
      </w:pPr>
      <w:r>
        <w:t xml:space="preserve">- </w:t>
      </w:r>
      <w:proofErr w:type="spellStart"/>
      <w:r>
        <w:t>perdraudiko</w:t>
      </w:r>
      <w:proofErr w:type="spellEnd"/>
      <w:r>
        <w:t xml:space="preserve"> įsipareigojimų nevykdymas</w:t>
      </w:r>
      <w:r w:rsidR="005D3420">
        <w:t>,</w:t>
      </w:r>
    </w:p>
    <w:p w14:paraId="3DFC3B73" w14:textId="77777777" w:rsidR="00790DE6" w:rsidRDefault="00790DE6" w:rsidP="009433ED">
      <w:pPr>
        <w:jc w:val="both"/>
      </w:pPr>
      <w:r>
        <w:t>- perdraudimo limitų išnaudojimas.</w:t>
      </w:r>
    </w:p>
    <w:p w14:paraId="1081830C" w14:textId="77777777" w:rsidR="00790DE6" w:rsidRDefault="00790DE6" w:rsidP="009433ED">
      <w:pPr>
        <w:jc w:val="both"/>
      </w:pPr>
      <w:r>
        <w:t>3.4.3.2 Apžvalgoje turėtų būti pateikta:</w:t>
      </w:r>
    </w:p>
    <w:p w14:paraId="538D15C9" w14:textId="75D25DD2" w:rsidR="00790DE6" w:rsidRDefault="00790DE6" w:rsidP="009433ED">
      <w:pPr>
        <w:jc w:val="both"/>
      </w:pPr>
      <w:r>
        <w:t xml:space="preserve">- iš perdraudimo ir </w:t>
      </w:r>
      <w:r w:rsidRPr="000D3282">
        <w:rPr>
          <w:i/>
        </w:rPr>
        <w:t>SPĮ</w:t>
      </w:r>
      <w:r>
        <w:t xml:space="preserve"> atgautinos sumos</w:t>
      </w:r>
      <w:r w:rsidR="005D3420">
        <w:t>,</w:t>
      </w:r>
    </w:p>
    <w:p w14:paraId="6689A339" w14:textId="123D3793" w:rsidR="00790DE6" w:rsidRDefault="00790DE6" w:rsidP="009433ED">
      <w:pPr>
        <w:jc w:val="both"/>
      </w:pPr>
      <w:r>
        <w:t xml:space="preserve">- įtaka </w:t>
      </w:r>
      <w:r w:rsidR="00A957CE" w:rsidRPr="00A957CE">
        <w:rPr>
          <w:i/>
        </w:rPr>
        <w:t>įmonės</w:t>
      </w:r>
      <w:r>
        <w:t xml:space="preserve"> nuosavoms lėšoms.</w:t>
      </w:r>
    </w:p>
    <w:p w14:paraId="4947AE6E" w14:textId="6058EFD6" w:rsidR="00790DE6" w:rsidRDefault="00790DE6" w:rsidP="009433ED">
      <w:pPr>
        <w:jc w:val="both"/>
      </w:pPr>
      <w:r>
        <w:t>3.4.3.3 Esant poreikiui, apžvalgoje turėtų būti atsižvelgiama į perdraudimo apsaugos atkūrimo ar atstatymo ir galimo draudimo apsaugos nebuvimo įtaką.</w:t>
      </w:r>
    </w:p>
    <w:p w14:paraId="5DFB7AF1" w14:textId="77777777" w:rsidR="00790DE6" w:rsidRPr="00BC1201" w:rsidRDefault="00790DE6" w:rsidP="009433ED">
      <w:pPr>
        <w:jc w:val="both"/>
      </w:pPr>
      <w:r>
        <w:t xml:space="preserve">3.4.3.4 </w:t>
      </w:r>
      <w:r w:rsidRPr="000D3282">
        <w:rPr>
          <w:i/>
        </w:rPr>
        <w:t>AFA</w:t>
      </w:r>
      <w:r>
        <w:t xml:space="preserve"> gali būti įvertinta, kiek perdraudimo sutartys prisideda prie nuosavų lėšų svyravimų mažinimo.</w:t>
      </w:r>
    </w:p>
    <w:p w14:paraId="13A8463F" w14:textId="77777777" w:rsidR="00790DE6" w:rsidRDefault="00790DE6" w:rsidP="009433ED">
      <w:pPr>
        <w:ind w:left="567" w:hanging="567"/>
        <w:jc w:val="both"/>
      </w:pPr>
    </w:p>
    <w:p w14:paraId="399B986F" w14:textId="77777777" w:rsidR="008813C8" w:rsidRPr="008813C8" w:rsidRDefault="008813C8" w:rsidP="009433ED">
      <w:pPr>
        <w:ind w:left="567" w:hanging="567"/>
        <w:jc w:val="both"/>
        <w:rPr>
          <w:b/>
        </w:rPr>
      </w:pPr>
      <w:r w:rsidRPr="008813C8">
        <w:rPr>
          <w:b/>
        </w:rPr>
        <w:t>3.5. Įnašas į rizikos valdymą</w:t>
      </w:r>
    </w:p>
    <w:p w14:paraId="2133A0FC" w14:textId="4EF5CC11" w:rsidR="008813C8" w:rsidRDefault="00070E4D" w:rsidP="009433ED">
      <w:pPr>
        <w:jc w:val="both"/>
      </w:pPr>
      <w:r>
        <w:t>3.5.1.</w:t>
      </w:r>
      <w:r w:rsidR="008813C8">
        <w:t xml:space="preserve"> </w:t>
      </w:r>
      <w:r w:rsidR="0059730B" w:rsidRPr="000D3282">
        <w:rPr>
          <w:i/>
        </w:rPr>
        <w:t>AFA</w:t>
      </w:r>
      <w:r>
        <w:t xml:space="preserve"> turėtų</w:t>
      </w:r>
      <w:r w:rsidR="008813C8">
        <w:t xml:space="preserve"> būti aprašytos sritys, kuriose </w:t>
      </w:r>
      <w:r w:rsidR="00790DE6" w:rsidRPr="000D3282">
        <w:rPr>
          <w:i/>
        </w:rPr>
        <w:t>AF</w:t>
      </w:r>
      <w:r w:rsidR="008813C8">
        <w:t xml:space="preserve"> reikšmingai prisidėjo prie </w:t>
      </w:r>
      <w:r w:rsidR="0091425D">
        <w:t xml:space="preserve">rizikos valdymo sistemos įgyvendinimo, ir atlikti darbai. </w:t>
      </w:r>
      <w:r w:rsidR="000D3282">
        <w:t>Ypatingai</w:t>
      </w:r>
      <w:r w:rsidR="0091425D">
        <w:t xml:space="preserve">, </w:t>
      </w:r>
      <w:r w:rsidR="00790DE6" w:rsidRPr="000D3282">
        <w:rPr>
          <w:i/>
        </w:rPr>
        <w:t>AF</w:t>
      </w:r>
      <w:r w:rsidR="0091425D">
        <w:t xml:space="preserve"> įnašas į rizikos modeliavimą kapitalo reikalavimo skaičiavimuose.</w:t>
      </w:r>
    </w:p>
    <w:p w14:paraId="54B3A209" w14:textId="46A29486" w:rsidR="0091425D" w:rsidRDefault="0091425D" w:rsidP="009433ED">
      <w:pPr>
        <w:jc w:val="both"/>
      </w:pPr>
      <w:r>
        <w:t xml:space="preserve">3.5.2. </w:t>
      </w:r>
      <w:r w:rsidR="0059730B" w:rsidRPr="000D3282">
        <w:rPr>
          <w:i/>
        </w:rPr>
        <w:t>AFA</w:t>
      </w:r>
      <w:r w:rsidR="00070E4D">
        <w:t xml:space="preserve"> turėtų</w:t>
      </w:r>
      <w:r>
        <w:t xml:space="preserve"> būti apibendrinti esminiai šios veiklos pastebėjimai, ir </w:t>
      </w:r>
      <w:r w:rsidR="000D3282">
        <w:t>ypatingai</w:t>
      </w:r>
      <w:r>
        <w:t>, rekomendacijos ateities tobulinimams.</w:t>
      </w:r>
    </w:p>
    <w:sectPr w:rsidR="009142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Constantia">
    <w:panose1 w:val="02030602050306030303"/>
    <w:charset w:val="BA"/>
    <w:family w:val="roman"/>
    <w:pitch w:val="variable"/>
    <w:sig w:usb0="A00002EF" w:usb1="4000204B"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2BA"/>
    <w:multiLevelType w:val="multilevel"/>
    <w:tmpl w:val="358C8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D167A82"/>
    <w:multiLevelType w:val="multilevel"/>
    <w:tmpl w:val="358C8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88"/>
    <w:rsid w:val="00041F60"/>
    <w:rsid w:val="00070E4D"/>
    <w:rsid w:val="00077A66"/>
    <w:rsid w:val="00085511"/>
    <w:rsid w:val="000A4246"/>
    <w:rsid w:val="000C3516"/>
    <w:rsid w:val="000D3282"/>
    <w:rsid w:val="000D65B5"/>
    <w:rsid w:val="00105DB9"/>
    <w:rsid w:val="001460DE"/>
    <w:rsid w:val="001643A4"/>
    <w:rsid w:val="0018273E"/>
    <w:rsid w:val="001908F4"/>
    <w:rsid w:val="001C4260"/>
    <w:rsid w:val="001E66A1"/>
    <w:rsid w:val="001F28A9"/>
    <w:rsid w:val="001F3976"/>
    <w:rsid w:val="001F3B44"/>
    <w:rsid w:val="002077BD"/>
    <w:rsid w:val="002540DF"/>
    <w:rsid w:val="00263666"/>
    <w:rsid w:val="00274055"/>
    <w:rsid w:val="002B2A82"/>
    <w:rsid w:val="002D44C1"/>
    <w:rsid w:val="00301A0B"/>
    <w:rsid w:val="00333F9D"/>
    <w:rsid w:val="00344A6A"/>
    <w:rsid w:val="00371632"/>
    <w:rsid w:val="003A06C3"/>
    <w:rsid w:val="003B460E"/>
    <w:rsid w:val="003C6EA6"/>
    <w:rsid w:val="003E29AC"/>
    <w:rsid w:val="003F2431"/>
    <w:rsid w:val="00417770"/>
    <w:rsid w:val="00427054"/>
    <w:rsid w:val="00460F58"/>
    <w:rsid w:val="004672C4"/>
    <w:rsid w:val="004900FB"/>
    <w:rsid w:val="004A147D"/>
    <w:rsid w:val="004A3CC8"/>
    <w:rsid w:val="004C4C2B"/>
    <w:rsid w:val="005071B1"/>
    <w:rsid w:val="0051566A"/>
    <w:rsid w:val="00537A01"/>
    <w:rsid w:val="005621EF"/>
    <w:rsid w:val="0057615D"/>
    <w:rsid w:val="00593EC5"/>
    <w:rsid w:val="0059730B"/>
    <w:rsid w:val="005A6346"/>
    <w:rsid w:val="005D3420"/>
    <w:rsid w:val="005D68F6"/>
    <w:rsid w:val="00624C8B"/>
    <w:rsid w:val="00627532"/>
    <w:rsid w:val="006B12B4"/>
    <w:rsid w:val="006B5F34"/>
    <w:rsid w:val="006E28E1"/>
    <w:rsid w:val="007439A2"/>
    <w:rsid w:val="00754451"/>
    <w:rsid w:val="00772D26"/>
    <w:rsid w:val="00790DE6"/>
    <w:rsid w:val="008456B4"/>
    <w:rsid w:val="00853CB4"/>
    <w:rsid w:val="00856ACE"/>
    <w:rsid w:val="00856B7A"/>
    <w:rsid w:val="00877D5E"/>
    <w:rsid w:val="008813C8"/>
    <w:rsid w:val="0088173F"/>
    <w:rsid w:val="00881E1F"/>
    <w:rsid w:val="008A71B6"/>
    <w:rsid w:val="008B1DF5"/>
    <w:rsid w:val="008E46C0"/>
    <w:rsid w:val="008F4920"/>
    <w:rsid w:val="0091425D"/>
    <w:rsid w:val="00926DDF"/>
    <w:rsid w:val="009433ED"/>
    <w:rsid w:val="009724EB"/>
    <w:rsid w:val="009937BA"/>
    <w:rsid w:val="00A10915"/>
    <w:rsid w:val="00A22E2E"/>
    <w:rsid w:val="00A957CE"/>
    <w:rsid w:val="00AA3088"/>
    <w:rsid w:val="00AF3CAE"/>
    <w:rsid w:val="00B00778"/>
    <w:rsid w:val="00B17D04"/>
    <w:rsid w:val="00B230D0"/>
    <w:rsid w:val="00B31555"/>
    <w:rsid w:val="00B47ED1"/>
    <w:rsid w:val="00B546BA"/>
    <w:rsid w:val="00B7683B"/>
    <w:rsid w:val="00B82100"/>
    <w:rsid w:val="00B9355F"/>
    <w:rsid w:val="00BA1DFB"/>
    <w:rsid w:val="00BE5AA6"/>
    <w:rsid w:val="00C22320"/>
    <w:rsid w:val="00C23ABA"/>
    <w:rsid w:val="00C24EAC"/>
    <w:rsid w:val="00C300A2"/>
    <w:rsid w:val="00C55188"/>
    <w:rsid w:val="00C5539F"/>
    <w:rsid w:val="00C60DBF"/>
    <w:rsid w:val="00D70D18"/>
    <w:rsid w:val="00D7135F"/>
    <w:rsid w:val="00D77E37"/>
    <w:rsid w:val="00DB3959"/>
    <w:rsid w:val="00E0644D"/>
    <w:rsid w:val="00E077A9"/>
    <w:rsid w:val="00E36D33"/>
    <w:rsid w:val="00E55943"/>
    <w:rsid w:val="00E62C10"/>
    <w:rsid w:val="00E65887"/>
    <w:rsid w:val="00E80FD9"/>
    <w:rsid w:val="00EB2409"/>
    <w:rsid w:val="00EC3200"/>
    <w:rsid w:val="00F2274A"/>
    <w:rsid w:val="00F358EC"/>
    <w:rsid w:val="00F3682E"/>
    <w:rsid w:val="00F45072"/>
    <w:rsid w:val="00F522C9"/>
    <w:rsid w:val="00F90B84"/>
    <w:rsid w:val="00FD33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305C"/>
  <w15:chartTrackingRefBased/>
  <w15:docId w15:val="{CBE4973D-07D8-49CE-BA94-823C6B06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770"/>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17770"/>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730B"/>
    <w:rPr>
      <w:sz w:val="16"/>
      <w:szCs w:val="16"/>
    </w:rPr>
  </w:style>
  <w:style w:type="paragraph" w:styleId="CommentText">
    <w:name w:val="annotation text"/>
    <w:basedOn w:val="Normal"/>
    <w:link w:val="CommentTextChar"/>
    <w:uiPriority w:val="99"/>
    <w:semiHidden/>
    <w:unhideWhenUsed/>
    <w:rsid w:val="0059730B"/>
    <w:pPr>
      <w:spacing w:line="240" w:lineRule="auto"/>
    </w:pPr>
    <w:rPr>
      <w:sz w:val="20"/>
      <w:szCs w:val="20"/>
    </w:rPr>
  </w:style>
  <w:style w:type="character" w:customStyle="1" w:styleId="CommentTextChar">
    <w:name w:val="Comment Text Char"/>
    <w:basedOn w:val="DefaultParagraphFont"/>
    <w:link w:val="CommentText"/>
    <w:uiPriority w:val="99"/>
    <w:semiHidden/>
    <w:rsid w:val="0059730B"/>
    <w:rPr>
      <w:sz w:val="20"/>
      <w:szCs w:val="20"/>
    </w:rPr>
  </w:style>
  <w:style w:type="paragraph" w:styleId="CommentSubject">
    <w:name w:val="annotation subject"/>
    <w:basedOn w:val="CommentText"/>
    <w:next w:val="CommentText"/>
    <w:link w:val="CommentSubjectChar"/>
    <w:uiPriority w:val="99"/>
    <w:semiHidden/>
    <w:unhideWhenUsed/>
    <w:rsid w:val="0059730B"/>
    <w:rPr>
      <w:b/>
      <w:bCs/>
    </w:rPr>
  </w:style>
  <w:style w:type="character" w:customStyle="1" w:styleId="CommentSubjectChar">
    <w:name w:val="Comment Subject Char"/>
    <w:basedOn w:val="CommentTextChar"/>
    <w:link w:val="CommentSubject"/>
    <w:uiPriority w:val="99"/>
    <w:semiHidden/>
    <w:rsid w:val="0059730B"/>
    <w:rPr>
      <w:b/>
      <w:bCs/>
      <w:sz w:val="20"/>
      <w:szCs w:val="20"/>
    </w:rPr>
  </w:style>
  <w:style w:type="paragraph" w:styleId="BalloonText">
    <w:name w:val="Balloon Text"/>
    <w:basedOn w:val="Normal"/>
    <w:link w:val="BalloonTextChar"/>
    <w:uiPriority w:val="99"/>
    <w:semiHidden/>
    <w:unhideWhenUsed/>
    <w:rsid w:val="0059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0B"/>
    <w:rPr>
      <w:rFonts w:ascii="Segoe UI" w:hAnsi="Segoe UI" w:cs="Segoe UI"/>
      <w:sz w:val="18"/>
      <w:szCs w:val="18"/>
    </w:rPr>
  </w:style>
  <w:style w:type="character" w:customStyle="1" w:styleId="Heading1Char">
    <w:name w:val="Heading 1 Char"/>
    <w:basedOn w:val="DefaultParagraphFont"/>
    <w:link w:val="Heading1"/>
    <w:uiPriority w:val="9"/>
    <w:rsid w:val="0041777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17770"/>
    <w:rPr>
      <w:rFonts w:ascii="Cambria" w:eastAsia="Times New Roman" w:hAnsi="Cambria" w:cs="Times New Roman"/>
      <w:b/>
      <w:bCs/>
      <w:color w:val="4F81BD"/>
      <w:sz w:val="26"/>
      <w:szCs w:val="26"/>
    </w:rPr>
  </w:style>
  <w:style w:type="character" w:customStyle="1" w:styleId="shorttext">
    <w:name w:val="short_text"/>
    <w:basedOn w:val="DefaultParagraphFont"/>
    <w:rsid w:val="006E28E1"/>
  </w:style>
  <w:style w:type="paragraph" w:styleId="ListParagraph">
    <w:name w:val="List Paragraph"/>
    <w:basedOn w:val="Normal"/>
    <w:uiPriority w:val="34"/>
    <w:qFormat/>
    <w:rsid w:val="00FD3370"/>
    <w:pPr>
      <w:ind w:left="720"/>
      <w:contextualSpacing/>
    </w:pPr>
  </w:style>
  <w:style w:type="paragraph" w:styleId="HTMLPreformatted">
    <w:name w:val="HTML Preformatted"/>
    <w:basedOn w:val="Normal"/>
    <w:link w:val="HTMLPreformattedChar"/>
    <w:uiPriority w:val="99"/>
    <w:semiHidden/>
    <w:unhideWhenUsed/>
    <w:rsid w:val="0099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9937BA"/>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5266">
      <w:bodyDiv w:val="1"/>
      <w:marLeft w:val="0"/>
      <w:marRight w:val="0"/>
      <w:marTop w:val="0"/>
      <w:marBottom w:val="0"/>
      <w:divBdr>
        <w:top w:val="none" w:sz="0" w:space="0" w:color="auto"/>
        <w:left w:val="none" w:sz="0" w:space="0" w:color="auto"/>
        <w:bottom w:val="none" w:sz="0" w:space="0" w:color="auto"/>
        <w:right w:val="none" w:sz="0" w:space="0" w:color="auto"/>
      </w:divBdr>
      <w:divsChild>
        <w:div w:id="1255241229">
          <w:marLeft w:val="0"/>
          <w:marRight w:val="0"/>
          <w:marTop w:val="0"/>
          <w:marBottom w:val="0"/>
          <w:divBdr>
            <w:top w:val="none" w:sz="0" w:space="0" w:color="auto"/>
            <w:left w:val="none" w:sz="0" w:space="0" w:color="auto"/>
            <w:bottom w:val="none" w:sz="0" w:space="0" w:color="auto"/>
            <w:right w:val="none" w:sz="0" w:space="0" w:color="auto"/>
          </w:divBdr>
          <w:divsChild>
            <w:div w:id="1815220050">
              <w:marLeft w:val="0"/>
              <w:marRight w:val="0"/>
              <w:marTop w:val="0"/>
              <w:marBottom w:val="0"/>
              <w:divBdr>
                <w:top w:val="none" w:sz="0" w:space="0" w:color="auto"/>
                <w:left w:val="none" w:sz="0" w:space="0" w:color="auto"/>
                <w:bottom w:val="none" w:sz="0" w:space="0" w:color="auto"/>
                <w:right w:val="none" w:sz="0" w:space="0" w:color="auto"/>
              </w:divBdr>
              <w:divsChild>
                <w:div w:id="2076077016">
                  <w:marLeft w:val="0"/>
                  <w:marRight w:val="0"/>
                  <w:marTop w:val="0"/>
                  <w:marBottom w:val="0"/>
                  <w:divBdr>
                    <w:top w:val="none" w:sz="0" w:space="0" w:color="auto"/>
                    <w:left w:val="none" w:sz="0" w:space="0" w:color="auto"/>
                    <w:bottom w:val="none" w:sz="0" w:space="0" w:color="auto"/>
                    <w:right w:val="none" w:sz="0" w:space="0" w:color="auto"/>
                  </w:divBdr>
                  <w:divsChild>
                    <w:div w:id="475731015">
                      <w:marLeft w:val="0"/>
                      <w:marRight w:val="0"/>
                      <w:marTop w:val="45"/>
                      <w:marBottom w:val="0"/>
                      <w:divBdr>
                        <w:top w:val="none" w:sz="0" w:space="0" w:color="auto"/>
                        <w:left w:val="none" w:sz="0" w:space="0" w:color="auto"/>
                        <w:bottom w:val="none" w:sz="0" w:space="0" w:color="auto"/>
                        <w:right w:val="none" w:sz="0" w:space="0" w:color="auto"/>
                      </w:divBdr>
                      <w:divsChild>
                        <w:div w:id="933172606">
                          <w:marLeft w:val="0"/>
                          <w:marRight w:val="0"/>
                          <w:marTop w:val="0"/>
                          <w:marBottom w:val="0"/>
                          <w:divBdr>
                            <w:top w:val="none" w:sz="0" w:space="0" w:color="auto"/>
                            <w:left w:val="none" w:sz="0" w:space="0" w:color="auto"/>
                            <w:bottom w:val="none" w:sz="0" w:space="0" w:color="auto"/>
                            <w:right w:val="none" w:sz="0" w:space="0" w:color="auto"/>
                          </w:divBdr>
                          <w:divsChild>
                            <w:div w:id="618419511">
                              <w:marLeft w:val="2070"/>
                              <w:marRight w:val="3960"/>
                              <w:marTop w:val="0"/>
                              <w:marBottom w:val="0"/>
                              <w:divBdr>
                                <w:top w:val="none" w:sz="0" w:space="0" w:color="auto"/>
                                <w:left w:val="none" w:sz="0" w:space="0" w:color="auto"/>
                                <w:bottom w:val="none" w:sz="0" w:space="0" w:color="auto"/>
                                <w:right w:val="none" w:sz="0" w:space="0" w:color="auto"/>
                              </w:divBdr>
                              <w:divsChild>
                                <w:div w:id="348994101">
                                  <w:marLeft w:val="0"/>
                                  <w:marRight w:val="0"/>
                                  <w:marTop w:val="0"/>
                                  <w:marBottom w:val="0"/>
                                  <w:divBdr>
                                    <w:top w:val="none" w:sz="0" w:space="0" w:color="auto"/>
                                    <w:left w:val="none" w:sz="0" w:space="0" w:color="auto"/>
                                    <w:bottom w:val="none" w:sz="0" w:space="0" w:color="auto"/>
                                    <w:right w:val="none" w:sz="0" w:space="0" w:color="auto"/>
                                  </w:divBdr>
                                  <w:divsChild>
                                    <w:div w:id="1066225623">
                                      <w:marLeft w:val="0"/>
                                      <w:marRight w:val="0"/>
                                      <w:marTop w:val="0"/>
                                      <w:marBottom w:val="0"/>
                                      <w:divBdr>
                                        <w:top w:val="none" w:sz="0" w:space="0" w:color="auto"/>
                                        <w:left w:val="none" w:sz="0" w:space="0" w:color="auto"/>
                                        <w:bottom w:val="none" w:sz="0" w:space="0" w:color="auto"/>
                                        <w:right w:val="none" w:sz="0" w:space="0" w:color="auto"/>
                                      </w:divBdr>
                                      <w:divsChild>
                                        <w:div w:id="1490754303">
                                          <w:marLeft w:val="0"/>
                                          <w:marRight w:val="0"/>
                                          <w:marTop w:val="0"/>
                                          <w:marBottom w:val="0"/>
                                          <w:divBdr>
                                            <w:top w:val="none" w:sz="0" w:space="0" w:color="auto"/>
                                            <w:left w:val="none" w:sz="0" w:space="0" w:color="auto"/>
                                            <w:bottom w:val="none" w:sz="0" w:space="0" w:color="auto"/>
                                            <w:right w:val="none" w:sz="0" w:space="0" w:color="auto"/>
                                          </w:divBdr>
                                          <w:divsChild>
                                            <w:div w:id="1398355180">
                                              <w:marLeft w:val="0"/>
                                              <w:marRight w:val="0"/>
                                              <w:marTop w:val="90"/>
                                              <w:marBottom w:val="0"/>
                                              <w:divBdr>
                                                <w:top w:val="none" w:sz="0" w:space="0" w:color="auto"/>
                                                <w:left w:val="none" w:sz="0" w:space="0" w:color="auto"/>
                                                <w:bottom w:val="none" w:sz="0" w:space="0" w:color="auto"/>
                                                <w:right w:val="none" w:sz="0" w:space="0" w:color="auto"/>
                                              </w:divBdr>
                                              <w:divsChild>
                                                <w:div w:id="809597469">
                                                  <w:marLeft w:val="0"/>
                                                  <w:marRight w:val="0"/>
                                                  <w:marTop w:val="0"/>
                                                  <w:marBottom w:val="0"/>
                                                  <w:divBdr>
                                                    <w:top w:val="none" w:sz="0" w:space="0" w:color="auto"/>
                                                    <w:left w:val="none" w:sz="0" w:space="0" w:color="auto"/>
                                                    <w:bottom w:val="none" w:sz="0" w:space="0" w:color="auto"/>
                                                    <w:right w:val="none" w:sz="0" w:space="0" w:color="auto"/>
                                                  </w:divBdr>
                                                  <w:divsChild>
                                                    <w:div w:id="1900171518">
                                                      <w:marLeft w:val="0"/>
                                                      <w:marRight w:val="0"/>
                                                      <w:marTop w:val="0"/>
                                                      <w:marBottom w:val="0"/>
                                                      <w:divBdr>
                                                        <w:top w:val="none" w:sz="0" w:space="0" w:color="auto"/>
                                                        <w:left w:val="none" w:sz="0" w:space="0" w:color="auto"/>
                                                        <w:bottom w:val="none" w:sz="0" w:space="0" w:color="auto"/>
                                                        <w:right w:val="none" w:sz="0" w:space="0" w:color="auto"/>
                                                      </w:divBdr>
                                                      <w:divsChild>
                                                        <w:div w:id="367998799">
                                                          <w:marLeft w:val="0"/>
                                                          <w:marRight w:val="0"/>
                                                          <w:marTop w:val="0"/>
                                                          <w:marBottom w:val="390"/>
                                                          <w:divBdr>
                                                            <w:top w:val="none" w:sz="0" w:space="0" w:color="auto"/>
                                                            <w:left w:val="none" w:sz="0" w:space="0" w:color="auto"/>
                                                            <w:bottom w:val="none" w:sz="0" w:space="0" w:color="auto"/>
                                                            <w:right w:val="none" w:sz="0" w:space="0" w:color="auto"/>
                                                          </w:divBdr>
                                                          <w:divsChild>
                                                            <w:div w:id="1680156058">
                                                              <w:marLeft w:val="0"/>
                                                              <w:marRight w:val="0"/>
                                                              <w:marTop w:val="0"/>
                                                              <w:marBottom w:val="0"/>
                                                              <w:divBdr>
                                                                <w:top w:val="none" w:sz="0" w:space="0" w:color="auto"/>
                                                                <w:left w:val="none" w:sz="0" w:space="0" w:color="auto"/>
                                                                <w:bottom w:val="none" w:sz="0" w:space="0" w:color="auto"/>
                                                                <w:right w:val="none" w:sz="0" w:space="0" w:color="auto"/>
                                                              </w:divBdr>
                                                              <w:divsChild>
                                                                <w:div w:id="1499543422">
                                                                  <w:marLeft w:val="0"/>
                                                                  <w:marRight w:val="0"/>
                                                                  <w:marTop w:val="0"/>
                                                                  <w:marBottom w:val="0"/>
                                                                  <w:divBdr>
                                                                    <w:top w:val="none" w:sz="0" w:space="0" w:color="auto"/>
                                                                    <w:left w:val="none" w:sz="0" w:space="0" w:color="auto"/>
                                                                    <w:bottom w:val="none" w:sz="0" w:space="0" w:color="auto"/>
                                                                    <w:right w:val="none" w:sz="0" w:space="0" w:color="auto"/>
                                                                  </w:divBdr>
                                                                  <w:divsChild>
                                                                    <w:div w:id="1166819375">
                                                                      <w:marLeft w:val="0"/>
                                                                      <w:marRight w:val="0"/>
                                                                      <w:marTop w:val="0"/>
                                                                      <w:marBottom w:val="0"/>
                                                                      <w:divBdr>
                                                                        <w:top w:val="none" w:sz="0" w:space="0" w:color="auto"/>
                                                                        <w:left w:val="none" w:sz="0" w:space="0" w:color="auto"/>
                                                                        <w:bottom w:val="none" w:sz="0" w:space="0" w:color="auto"/>
                                                                        <w:right w:val="none" w:sz="0" w:space="0" w:color="auto"/>
                                                                      </w:divBdr>
                                                                      <w:divsChild>
                                                                        <w:div w:id="1957521924">
                                                                          <w:marLeft w:val="0"/>
                                                                          <w:marRight w:val="0"/>
                                                                          <w:marTop w:val="0"/>
                                                                          <w:marBottom w:val="0"/>
                                                                          <w:divBdr>
                                                                            <w:top w:val="none" w:sz="0" w:space="0" w:color="auto"/>
                                                                            <w:left w:val="none" w:sz="0" w:space="0" w:color="auto"/>
                                                                            <w:bottom w:val="none" w:sz="0" w:space="0" w:color="auto"/>
                                                                            <w:right w:val="none" w:sz="0" w:space="0" w:color="auto"/>
                                                                          </w:divBdr>
                                                                          <w:divsChild>
                                                                            <w:div w:id="1350991320">
                                                                              <w:marLeft w:val="0"/>
                                                                              <w:marRight w:val="0"/>
                                                                              <w:marTop w:val="0"/>
                                                                              <w:marBottom w:val="0"/>
                                                                              <w:divBdr>
                                                                                <w:top w:val="none" w:sz="0" w:space="0" w:color="auto"/>
                                                                                <w:left w:val="none" w:sz="0" w:space="0" w:color="auto"/>
                                                                                <w:bottom w:val="none" w:sz="0" w:space="0" w:color="auto"/>
                                                                                <w:right w:val="none" w:sz="0" w:space="0" w:color="auto"/>
                                                                              </w:divBdr>
                                                                              <w:divsChild>
                                                                                <w:div w:id="1372270954">
                                                                                  <w:marLeft w:val="0"/>
                                                                                  <w:marRight w:val="0"/>
                                                                                  <w:marTop w:val="0"/>
                                                                                  <w:marBottom w:val="0"/>
                                                                                  <w:divBdr>
                                                                                    <w:top w:val="none" w:sz="0" w:space="0" w:color="auto"/>
                                                                                    <w:left w:val="none" w:sz="0" w:space="0" w:color="auto"/>
                                                                                    <w:bottom w:val="none" w:sz="0" w:space="0" w:color="auto"/>
                                                                                    <w:right w:val="none" w:sz="0" w:space="0" w:color="auto"/>
                                                                                  </w:divBdr>
                                                                                  <w:divsChild>
                                                                                    <w:div w:id="1828012352">
                                                                                      <w:marLeft w:val="0"/>
                                                                                      <w:marRight w:val="0"/>
                                                                                      <w:marTop w:val="0"/>
                                                                                      <w:marBottom w:val="0"/>
                                                                                      <w:divBdr>
                                                                                        <w:top w:val="none" w:sz="0" w:space="0" w:color="auto"/>
                                                                                        <w:left w:val="none" w:sz="0" w:space="0" w:color="auto"/>
                                                                                        <w:bottom w:val="none" w:sz="0" w:space="0" w:color="auto"/>
                                                                                        <w:right w:val="none" w:sz="0" w:space="0" w:color="auto"/>
                                                                                      </w:divBdr>
                                                                                      <w:divsChild>
                                                                                        <w:div w:id="3991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25178">
      <w:bodyDiv w:val="1"/>
      <w:marLeft w:val="0"/>
      <w:marRight w:val="0"/>
      <w:marTop w:val="0"/>
      <w:marBottom w:val="0"/>
      <w:divBdr>
        <w:top w:val="none" w:sz="0" w:space="0" w:color="auto"/>
        <w:left w:val="none" w:sz="0" w:space="0" w:color="auto"/>
        <w:bottom w:val="none" w:sz="0" w:space="0" w:color="auto"/>
        <w:right w:val="none" w:sz="0" w:space="0" w:color="auto"/>
      </w:divBdr>
      <w:divsChild>
        <w:div w:id="1561406613">
          <w:marLeft w:val="0"/>
          <w:marRight w:val="0"/>
          <w:marTop w:val="0"/>
          <w:marBottom w:val="0"/>
          <w:divBdr>
            <w:top w:val="none" w:sz="0" w:space="0" w:color="auto"/>
            <w:left w:val="none" w:sz="0" w:space="0" w:color="auto"/>
            <w:bottom w:val="none" w:sz="0" w:space="0" w:color="auto"/>
            <w:right w:val="none" w:sz="0" w:space="0" w:color="auto"/>
          </w:divBdr>
          <w:divsChild>
            <w:div w:id="30615307">
              <w:marLeft w:val="0"/>
              <w:marRight w:val="0"/>
              <w:marTop w:val="0"/>
              <w:marBottom w:val="0"/>
              <w:divBdr>
                <w:top w:val="none" w:sz="0" w:space="0" w:color="auto"/>
                <w:left w:val="none" w:sz="0" w:space="0" w:color="auto"/>
                <w:bottom w:val="none" w:sz="0" w:space="0" w:color="auto"/>
                <w:right w:val="none" w:sz="0" w:space="0" w:color="auto"/>
              </w:divBdr>
              <w:divsChild>
                <w:div w:id="1964919526">
                  <w:marLeft w:val="0"/>
                  <w:marRight w:val="0"/>
                  <w:marTop w:val="0"/>
                  <w:marBottom w:val="0"/>
                  <w:divBdr>
                    <w:top w:val="none" w:sz="0" w:space="0" w:color="auto"/>
                    <w:left w:val="none" w:sz="0" w:space="0" w:color="auto"/>
                    <w:bottom w:val="none" w:sz="0" w:space="0" w:color="auto"/>
                    <w:right w:val="none" w:sz="0" w:space="0" w:color="auto"/>
                  </w:divBdr>
                  <w:divsChild>
                    <w:div w:id="525561350">
                      <w:marLeft w:val="0"/>
                      <w:marRight w:val="0"/>
                      <w:marTop w:val="45"/>
                      <w:marBottom w:val="0"/>
                      <w:divBdr>
                        <w:top w:val="none" w:sz="0" w:space="0" w:color="auto"/>
                        <w:left w:val="none" w:sz="0" w:space="0" w:color="auto"/>
                        <w:bottom w:val="none" w:sz="0" w:space="0" w:color="auto"/>
                        <w:right w:val="none" w:sz="0" w:space="0" w:color="auto"/>
                      </w:divBdr>
                      <w:divsChild>
                        <w:div w:id="1074820645">
                          <w:marLeft w:val="0"/>
                          <w:marRight w:val="0"/>
                          <w:marTop w:val="0"/>
                          <w:marBottom w:val="0"/>
                          <w:divBdr>
                            <w:top w:val="none" w:sz="0" w:space="0" w:color="auto"/>
                            <w:left w:val="none" w:sz="0" w:space="0" w:color="auto"/>
                            <w:bottom w:val="none" w:sz="0" w:space="0" w:color="auto"/>
                            <w:right w:val="none" w:sz="0" w:space="0" w:color="auto"/>
                          </w:divBdr>
                          <w:divsChild>
                            <w:div w:id="1128280596">
                              <w:marLeft w:val="2070"/>
                              <w:marRight w:val="3960"/>
                              <w:marTop w:val="0"/>
                              <w:marBottom w:val="0"/>
                              <w:divBdr>
                                <w:top w:val="none" w:sz="0" w:space="0" w:color="auto"/>
                                <w:left w:val="none" w:sz="0" w:space="0" w:color="auto"/>
                                <w:bottom w:val="none" w:sz="0" w:space="0" w:color="auto"/>
                                <w:right w:val="none" w:sz="0" w:space="0" w:color="auto"/>
                              </w:divBdr>
                              <w:divsChild>
                                <w:div w:id="894245384">
                                  <w:marLeft w:val="0"/>
                                  <w:marRight w:val="0"/>
                                  <w:marTop w:val="0"/>
                                  <w:marBottom w:val="0"/>
                                  <w:divBdr>
                                    <w:top w:val="none" w:sz="0" w:space="0" w:color="auto"/>
                                    <w:left w:val="none" w:sz="0" w:space="0" w:color="auto"/>
                                    <w:bottom w:val="none" w:sz="0" w:space="0" w:color="auto"/>
                                    <w:right w:val="none" w:sz="0" w:space="0" w:color="auto"/>
                                  </w:divBdr>
                                  <w:divsChild>
                                    <w:div w:id="1775131736">
                                      <w:marLeft w:val="0"/>
                                      <w:marRight w:val="0"/>
                                      <w:marTop w:val="0"/>
                                      <w:marBottom w:val="0"/>
                                      <w:divBdr>
                                        <w:top w:val="none" w:sz="0" w:space="0" w:color="auto"/>
                                        <w:left w:val="none" w:sz="0" w:space="0" w:color="auto"/>
                                        <w:bottom w:val="none" w:sz="0" w:space="0" w:color="auto"/>
                                        <w:right w:val="none" w:sz="0" w:space="0" w:color="auto"/>
                                      </w:divBdr>
                                      <w:divsChild>
                                        <w:div w:id="557516346">
                                          <w:marLeft w:val="0"/>
                                          <w:marRight w:val="0"/>
                                          <w:marTop w:val="0"/>
                                          <w:marBottom w:val="0"/>
                                          <w:divBdr>
                                            <w:top w:val="none" w:sz="0" w:space="0" w:color="auto"/>
                                            <w:left w:val="none" w:sz="0" w:space="0" w:color="auto"/>
                                            <w:bottom w:val="none" w:sz="0" w:space="0" w:color="auto"/>
                                            <w:right w:val="none" w:sz="0" w:space="0" w:color="auto"/>
                                          </w:divBdr>
                                          <w:divsChild>
                                            <w:div w:id="797407675">
                                              <w:marLeft w:val="0"/>
                                              <w:marRight w:val="0"/>
                                              <w:marTop w:val="90"/>
                                              <w:marBottom w:val="0"/>
                                              <w:divBdr>
                                                <w:top w:val="none" w:sz="0" w:space="0" w:color="auto"/>
                                                <w:left w:val="none" w:sz="0" w:space="0" w:color="auto"/>
                                                <w:bottom w:val="none" w:sz="0" w:space="0" w:color="auto"/>
                                                <w:right w:val="none" w:sz="0" w:space="0" w:color="auto"/>
                                              </w:divBdr>
                                              <w:divsChild>
                                                <w:div w:id="1460371152">
                                                  <w:marLeft w:val="0"/>
                                                  <w:marRight w:val="0"/>
                                                  <w:marTop w:val="0"/>
                                                  <w:marBottom w:val="0"/>
                                                  <w:divBdr>
                                                    <w:top w:val="none" w:sz="0" w:space="0" w:color="auto"/>
                                                    <w:left w:val="none" w:sz="0" w:space="0" w:color="auto"/>
                                                    <w:bottom w:val="none" w:sz="0" w:space="0" w:color="auto"/>
                                                    <w:right w:val="none" w:sz="0" w:space="0" w:color="auto"/>
                                                  </w:divBdr>
                                                  <w:divsChild>
                                                    <w:div w:id="978610606">
                                                      <w:marLeft w:val="0"/>
                                                      <w:marRight w:val="0"/>
                                                      <w:marTop w:val="0"/>
                                                      <w:marBottom w:val="0"/>
                                                      <w:divBdr>
                                                        <w:top w:val="none" w:sz="0" w:space="0" w:color="auto"/>
                                                        <w:left w:val="none" w:sz="0" w:space="0" w:color="auto"/>
                                                        <w:bottom w:val="none" w:sz="0" w:space="0" w:color="auto"/>
                                                        <w:right w:val="none" w:sz="0" w:space="0" w:color="auto"/>
                                                      </w:divBdr>
                                                      <w:divsChild>
                                                        <w:div w:id="548149638">
                                                          <w:marLeft w:val="0"/>
                                                          <w:marRight w:val="0"/>
                                                          <w:marTop w:val="0"/>
                                                          <w:marBottom w:val="390"/>
                                                          <w:divBdr>
                                                            <w:top w:val="none" w:sz="0" w:space="0" w:color="auto"/>
                                                            <w:left w:val="none" w:sz="0" w:space="0" w:color="auto"/>
                                                            <w:bottom w:val="none" w:sz="0" w:space="0" w:color="auto"/>
                                                            <w:right w:val="none" w:sz="0" w:space="0" w:color="auto"/>
                                                          </w:divBdr>
                                                          <w:divsChild>
                                                            <w:div w:id="28184981">
                                                              <w:marLeft w:val="0"/>
                                                              <w:marRight w:val="0"/>
                                                              <w:marTop w:val="0"/>
                                                              <w:marBottom w:val="0"/>
                                                              <w:divBdr>
                                                                <w:top w:val="none" w:sz="0" w:space="0" w:color="auto"/>
                                                                <w:left w:val="none" w:sz="0" w:space="0" w:color="auto"/>
                                                                <w:bottom w:val="none" w:sz="0" w:space="0" w:color="auto"/>
                                                                <w:right w:val="none" w:sz="0" w:space="0" w:color="auto"/>
                                                              </w:divBdr>
                                                              <w:divsChild>
                                                                <w:div w:id="669335666">
                                                                  <w:marLeft w:val="0"/>
                                                                  <w:marRight w:val="0"/>
                                                                  <w:marTop w:val="0"/>
                                                                  <w:marBottom w:val="0"/>
                                                                  <w:divBdr>
                                                                    <w:top w:val="none" w:sz="0" w:space="0" w:color="auto"/>
                                                                    <w:left w:val="none" w:sz="0" w:space="0" w:color="auto"/>
                                                                    <w:bottom w:val="none" w:sz="0" w:space="0" w:color="auto"/>
                                                                    <w:right w:val="none" w:sz="0" w:space="0" w:color="auto"/>
                                                                  </w:divBdr>
                                                                  <w:divsChild>
                                                                    <w:div w:id="1963924973">
                                                                      <w:marLeft w:val="0"/>
                                                                      <w:marRight w:val="0"/>
                                                                      <w:marTop w:val="0"/>
                                                                      <w:marBottom w:val="0"/>
                                                                      <w:divBdr>
                                                                        <w:top w:val="none" w:sz="0" w:space="0" w:color="auto"/>
                                                                        <w:left w:val="none" w:sz="0" w:space="0" w:color="auto"/>
                                                                        <w:bottom w:val="none" w:sz="0" w:space="0" w:color="auto"/>
                                                                        <w:right w:val="none" w:sz="0" w:space="0" w:color="auto"/>
                                                                      </w:divBdr>
                                                                      <w:divsChild>
                                                                        <w:div w:id="1556116514">
                                                                          <w:marLeft w:val="0"/>
                                                                          <w:marRight w:val="0"/>
                                                                          <w:marTop w:val="0"/>
                                                                          <w:marBottom w:val="0"/>
                                                                          <w:divBdr>
                                                                            <w:top w:val="none" w:sz="0" w:space="0" w:color="auto"/>
                                                                            <w:left w:val="none" w:sz="0" w:space="0" w:color="auto"/>
                                                                            <w:bottom w:val="none" w:sz="0" w:space="0" w:color="auto"/>
                                                                            <w:right w:val="none" w:sz="0" w:space="0" w:color="auto"/>
                                                                          </w:divBdr>
                                                                          <w:divsChild>
                                                                            <w:div w:id="1562011297">
                                                                              <w:marLeft w:val="0"/>
                                                                              <w:marRight w:val="0"/>
                                                                              <w:marTop w:val="0"/>
                                                                              <w:marBottom w:val="0"/>
                                                                              <w:divBdr>
                                                                                <w:top w:val="none" w:sz="0" w:space="0" w:color="auto"/>
                                                                                <w:left w:val="none" w:sz="0" w:space="0" w:color="auto"/>
                                                                                <w:bottom w:val="none" w:sz="0" w:space="0" w:color="auto"/>
                                                                                <w:right w:val="none" w:sz="0" w:space="0" w:color="auto"/>
                                                                              </w:divBdr>
                                                                              <w:divsChild>
                                                                                <w:div w:id="323171247">
                                                                                  <w:marLeft w:val="0"/>
                                                                                  <w:marRight w:val="0"/>
                                                                                  <w:marTop w:val="0"/>
                                                                                  <w:marBottom w:val="0"/>
                                                                                  <w:divBdr>
                                                                                    <w:top w:val="none" w:sz="0" w:space="0" w:color="auto"/>
                                                                                    <w:left w:val="none" w:sz="0" w:space="0" w:color="auto"/>
                                                                                    <w:bottom w:val="none" w:sz="0" w:space="0" w:color="auto"/>
                                                                                    <w:right w:val="none" w:sz="0" w:space="0" w:color="auto"/>
                                                                                  </w:divBdr>
                                                                                  <w:divsChild>
                                                                                    <w:div w:id="1317954631">
                                                                                      <w:marLeft w:val="0"/>
                                                                                      <w:marRight w:val="0"/>
                                                                                      <w:marTop w:val="0"/>
                                                                                      <w:marBottom w:val="0"/>
                                                                                      <w:divBdr>
                                                                                        <w:top w:val="none" w:sz="0" w:space="0" w:color="auto"/>
                                                                                        <w:left w:val="none" w:sz="0" w:space="0" w:color="auto"/>
                                                                                        <w:bottom w:val="none" w:sz="0" w:space="0" w:color="auto"/>
                                                                                        <w:right w:val="none" w:sz="0" w:space="0" w:color="auto"/>
                                                                                      </w:divBdr>
                                                                                      <w:divsChild>
                                                                                        <w:div w:id="15229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3069-B659-4CDA-84CE-FB244941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11414</Words>
  <Characters>6506</Characters>
  <Application>Microsoft Office Word</Application>
  <DocSecurity>0</DocSecurity>
  <Lines>54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Kriauciuniene</dc:creator>
  <cp:keywords/>
  <dc:description/>
  <cp:lastModifiedBy>Gabija Girdžiūtė</cp:lastModifiedBy>
  <cp:revision>3</cp:revision>
  <cp:lastPrinted>2018-06-26T05:19:00Z</cp:lastPrinted>
  <dcterms:created xsi:type="dcterms:W3CDTF">2018-09-12T10:16:00Z</dcterms:created>
  <dcterms:modified xsi:type="dcterms:W3CDTF">2018-09-12T10:18:00Z</dcterms:modified>
</cp:coreProperties>
</file>